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  <w:t xml:space="preserve">постановления Правит</w:t>
            </w:r>
            <w:r>
              <w:rPr>
                <w:sz w:val="24"/>
                <w:szCs w:val="24"/>
                <w:u w:val="single"/>
              </w:rPr>
              <w:t xml:space="preserve">ельства Белгородской области </w:t>
            </w:r>
            <w:r>
              <w:rPr>
                <w:sz w:val="24"/>
                <w:szCs w:val="24"/>
                <w:u w:val="singl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внесении изменений в постановление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от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08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феврал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20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 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42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color w:val="000000" w:themeColor="text1"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</w:t>
            </w:r>
            <w:r>
              <w:rPr>
                <w:color w:val="000000" w:themeColor="text1"/>
                <w:sz w:val="24"/>
                <w:szCs w:val="24"/>
              </w:rPr>
              <w:t xml:space="preserve">почты: 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mintrans@belregion.ru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11 декабря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 xml:space="preserve">года по </w:t>
            </w:r>
            <w:r>
              <w:rPr>
                <w:sz w:val="24"/>
                <w:szCs w:val="24"/>
              </w:rPr>
              <w:t xml:space="preserve">25 декабря </w:t>
            </w:r>
            <w:r>
              <w:rPr>
                <w:sz w:val="24"/>
                <w:szCs w:val="24"/>
              </w:rPr>
              <w:t xml:space="preserve">202</w:t>
            </w:r>
            <w:r>
              <w:rPr>
                <w:sz w:val="24"/>
                <w:szCs w:val="24"/>
              </w:rPr>
              <w:t xml:space="preserve">4 года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комплаенс»: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pStyle w:val="818"/>
              <w:widowControl w:val="o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Куропов Алексей Юрьевич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 отдела автомобильных перевозок министерства автомобильных дорог и транспорта Белгородской области (4722) 27-63-76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 w:customStyle="1">
    <w:name w:val="Normal1"/>
    <w:uiPriority w:val="9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13</cp:revision>
  <dcterms:created xsi:type="dcterms:W3CDTF">2023-04-28T08:37:00Z</dcterms:created>
  <dcterms:modified xsi:type="dcterms:W3CDTF">2024-12-11T12:12:39Z</dcterms:modified>
</cp:coreProperties>
</file>