
<file path=[Content_Types].xml><?xml version="1.0" encoding="utf-8"?>
<Types xmlns="http://schemas.openxmlformats.org/package/2006/content-types">
  <Default Extension="png" ContentType="image/png"/>
  <Default Extension="jpeg" ContentType="image/jpeg"/>
  <Default Extension="bmp" ContentType="image/bmp"/>
  <Default Extension="rels" ContentType="application/vnd.openxmlformats-package.relationships+xml"/>
  <Default Extension="xml" ContentType="application/xml"/>
  <Default Extension="emf" ContentType="image/x-emf"/>
  <Default Extension="wmf" ContentType="image/x-wmf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</Types>
</file>

<file path=_rels/.rels>&#65279;<?xml version="1.0" encoding="UTF-8" standalone="yes"?>
<Relationships xmlns="http://schemas.openxmlformats.org/package/2006/relationships">
	<Relationship Id="rId1" Type="http://schemas.openxmlformats.org/officeDocument/2006/relationships/officeDocument" Target="word/document.xml"/>
	<Relationship Id="rId2" Type="http://schemas.openxmlformats.org/package/2006/relationships/metadata/core-properties" Target="docProps/core.xml"/>
	<Relationship Id="rId3" Type="http://schemas.openxmlformats.org/officeDocument/2006/relationships/extended-properties" Target="docProps/app.xml"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10716"/>
      </w:tblGrid>
      <w:tr>
        <w:trPr>
          <w:trHeight w:val="3031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</w:pPr>
            <w:r>
              <w:rPr>
                <w:position w:val="-61"/>
              </w:rPr>
              <w:drawing>
                <wp:inline distT="0" distB="0" distL="0" distR="0">
                  <wp:extent cx="3810000" cy="904875"/>
                  <wp:effectExtent l="0" t="0" r="0" b="0"/>
                  <wp:docPr id="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0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val="8335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vAlign w:val="center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  <w:jc w:val="center"/>
            </w:pPr>
            <w:r>
              <w:rPr>
                <w:sz w:val="48"/>
              </w:rPr>
              <w:t xml:space="preserve">Постановление Правительства Белгородской обл. от 11.07.2022 N 415-пп</w:t>
              <w:br/>
              <w:t xml:space="preserve">"О нормативах финансовых затрат и правилах расчета размера ассигнований бюджета Белгородской области на капитальный ремонт, ремонт и содержание автомобильных дорог общего пользования регионального или межмуниципального значения Белгородской области"</w:t>
            </w:r>
          </w:p>
        </w:tc>
      </w:tr>
      <w:tr>
        <w:trPr>
          <w:trHeight w:val="3031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vAlign w:val="center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  <w:jc w:val="center"/>
            </w:pPr>
            <w:r>
              <w:rPr>
                <w:sz w:val="28"/>
              </w:rPr>
              <w:t xml:space="preserve">Документ предоставлен </w:t>
            </w:r>
            <w:hyperlink w:history="0" r:id="rId3" w:tooltip="Ссылка на КонсультантПлюс">
              <w:r>
                <w:rPr>
                  <w:sz w:val="28"/>
                  <w:color w:val="0000ff"/>
                  <w:b w:val="on"/>
                </w:rPr>
                <w:t xml:space="preserve">КонсультантПлюс</w:t>
                <w:br/>
                <w:br/>
              </w:r>
            </w:hyperlink>
            <w:hyperlink w:history="0" r:id="rId4" w:tooltip="Ссылка на КонсультантПлюс">
              <w:r>
                <w:rPr>
                  <w:sz w:val="28"/>
                  <w:color w:val="0000ff"/>
                  <w:b w:val="on"/>
                </w:rPr>
                <w:t xml:space="preserve">www.consultant.ru</w:t>
              </w:r>
            </w:hyperlink>
            <w:r>
              <w:rPr>
                <w:sz w:val="28"/>
              </w:rPr>
              <w:br/>
              <w:br/>
              <w:t xml:space="preserve">Дата сохранения: 18.05.2023</w:t>
            </w:r>
            <w:r>
              <w:rPr>
                <w:sz w:val="28"/>
              </w:rPr>
              <w:br/>
              <w:t xml:space="preserve"> </w:t>
            </w:r>
          </w:p>
        </w:tc>
      </w:tr>
    </w:tbl>
    <w:p>
      <w:pPr>
        <w:sectPr>
          <w:pgSz w:w="11906" w:h="16838"/>
          <w:pgMar w:top="841" w:right="595" w:bottom="841" w:left="595" w:header="0" w:footer="0" w:gutter="0"/>
          <w:titlePg/>
        </w:sectPr>
      </w:pPr>
    </w:p>
    <w:p>
      <w:pPr>
        <w:pStyle w:val="0"/>
        <w:outlineLvl w:val="0"/>
        <w:jc w:val="both"/>
      </w:pPr>
      <w:r>
        <w:rPr>
          <w:sz w:val="20"/>
        </w:rPr>
      </w:r>
    </w:p>
    <w:p>
      <w:pPr>
        <w:pStyle w:val="2"/>
        <w:outlineLvl w:val="0"/>
        <w:jc w:val="center"/>
      </w:pPr>
      <w:r>
        <w:rPr>
          <w:sz w:val="20"/>
        </w:rPr>
        <w:t xml:space="preserve">ПРАВИТЕЛЬСТВО БЕЛГОРОДСКОЙ ОБЛАСТИ</w:t>
      </w:r>
    </w:p>
    <w:p>
      <w:pPr>
        <w:pStyle w:val="2"/>
        <w:jc w:val="center"/>
      </w:pPr>
      <w:r>
        <w:rPr>
          <w:sz w:val="20"/>
        </w:rPr>
      </w:r>
    </w:p>
    <w:p>
      <w:pPr>
        <w:pStyle w:val="2"/>
        <w:jc w:val="center"/>
      </w:pPr>
      <w:r>
        <w:rPr>
          <w:sz w:val="20"/>
        </w:rPr>
        <w:t xml:space="preserve">ПОСТАНОВЛЕНИЕ</w:t>
      </w:r>
    </w:p>
    <w:p>
      <w:pPr>
        <w:pStyle w:val="2"/>
        <w:jc w:val="center"/>
      </w:pPr>
      <w:r>
        <w:rPr>
          <w:sz w:val="20"/>
        </w:rPr>
        <w:t xml:space="preserve">от 11 июля 2022 г. N 415-пп</w:t>
      </w:r>
    </w:p>
    <w:p>
      <w:pPr>
        <w:pStyle w:val="2"/>
        <w:jc w:val="center"/>
      </w:pPr>
      <w:r>
        <w:rPr>
          <w:sz w:val="20"/>
        </w:rPr>
      </w:r>
    </w:p>
    <w:p>
      <w:pPr>
        <w:pStyle w:val="2"/>
        <w:jc w:val="center"/>
      </w:pPr>
      <w:r>
        <w:rPr>
          <w:sz w:val="20"/>
        </w:rPr>
        <w:t xml:space="preserve">О НОРМАТИВАХ ФИНАНСОВЫХ ЗАТРАТ И ПРАВИЛАХ РАСЧЕТА РАЗМЕРА</w:t>
      </w:r>
    </w:p>
    <w:p>
      <w:pPr>
        <w:pStyle w:val="2"/>
        <w:jc w:val="center"/>
      </w:pPr>
      <w:r>
        <w:rPr>
          <w:sz w:val="20"/>
        </w:rPr>
        <w:t xml:space="preserve">АССИГНОВАНИЙ БЮДЖЕТА БЕЛГОРОДСКОЙ ОБЛАСТИ НА КАПИТАЛЬНЫЙ</w:t>
      </w:r>
    </w:p>
    <w:p>
      <w:pPr>
        <w:pStyle w:val="2"/>
        <w:jc w:val="center"/>
      </w:pPr>
      <w:r>
        <w:rPr>
          <w:sz w:val="20"/>
        </w:rPr>
        <w:t xml:space="preserve">РЕМОНТ, РЕМОНТ И СОДЕРЖАНИЕ АВТОМОБИЛЬНЫХ ДОРОГ ОБЩЕГО</w:t>
      </w:r>
    </w:p>
    <w:p>
      <w:pPr>
        <w:pStyle w:val="2"/>
        <w:jc w:val="center"/>
      </w:pPr>
      <w:r>
        <w:rPr>
          <w:sz w:val="20"/>
        </w:rPr>
        <w:t xml:space="preserve">ПОЛЬЗОВАНИЯ РЕГИОНАЛЬНОГО ИЛИ МЕЖМУНИЦИПАЛЬНОГО</w:t>
      </w:r>
    </w:p>
    <w:p>
      <w:pPr>
        <w:pStyle w:val="2"/>
        <w:jc w:val="center"/>
      </w:pPr>
      <w:r>
        <w:rPr>
          <w:sz w:val="20"/>
        </w:rPr>
        <w:t xml:space="preserve">ЗНАЧЕНИЯ БЕЛГОРОДСКОЙ ОБЛАСТИ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В соответствии с Федеральным </w:t>
      </w:r>
      <w:hyperlink w:history="0" r:id="rId7" w:tooltip="Федеральный закон от 08.11.2007 N 257-ФЗ (ред. от 28.04.2023) &quot;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&quot; {КонсультантПлюс}">
        <w:r>
          <w:rPr>
            <w:sz w:val="20"/>
            <w:color w:val="0000ff"/>
          </w:rPr>
          <w:t xml:space="preserve">законом</w:t>
        </w:r>
      </w:hyperlink>
      <w:r>
        <w:rPr>
          <w:sz w:val="20"/>
        </w:rPr>
        <w:t xml:space="preserve"> от 8 ноября 2007 года N 257-ФЗ "Об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Федерации", </w:t>
      </w:r>
      <w:hyperlink w:history="0" r:id="rId8" w:tooltip="Приказ Минтранса России от 16.11.2012 N 402 (ред. от 12.08.2020) &quot;Об утверждении Классификации работ по капитальному ремонту, ремонту и содержанию автомобильных дорог&quot; (Зарегистрировано в Минюсте России 24.05.2013 N 28505) {КонсультантПлюс}">
        <w:r>
          <w:rPr>
            <w:sz w:val="20"/>
            <w:color w:val="0000ff"/>
          </w:rPr>
          <w:t xml:space="preserve">Приказом</w:t>
        </w:r>
      </w:hyperlink>
      <w:r>
        <w:rPr>
          <w:sz w:val="20"/>
        </w:rPr>
        <w:t xml:space="preserve"> Министерства транспорта Российской Федерации от 16 ноября 2012 года N 402 "Об утверждении Классификации работ по капитальному ремонту, ремонту и содержанию автомобильных дорог" и в целях обеспечения нормативного уровня содержания и ремонта автомобильных дорог общего пользования регионального или межмуниципального значения Правительство Белгородской области постановляет:</w:t>
      </w:r>
    </w:p>
    <w:p>
      <w:pPr>
        <w:pStyle w:val="0"/>
        <w:jc w:val="both"/>
      </w:pPr>
      <w:r>
        <w:rPr>
          <w:sz w:val="20"/>
        </w:rPr>
      </w:r>
    </w:p>
    <w:bookmarkStart w:id="14" w:name="P14"/>
    <w:bookmarkEnd w:id="14"/>
    <w:p>
      <w:pPr>
        <w:pStyle w:val="0"/>
        <w:ind w:firstLine="540"/>
        <w:jc w:val="both"/>
      </w:pPr>
      <w:r>
        <w:rPr>
          <w:sz w:val="20"/>
        </w:rPr>
        <w:t xml:space="preserve">1. Установить нормативы финансовых затрат на капитальный ремонт, ремонт и содержание автомобильных дорог общего пользования регионального или межмуниципального значения Белгородской области V категории в следующих размерах: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на капитальный ремонт - 16382 тыс. рублей/км;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на ремонт - 6463 тыс. рублей/км;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на содержание - 1004 тыс. рублей/км.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2. Утвердить </w:t>
      </w:r>
      <w:hyperlink w:history="0" w:anchor="P43" w:tooltip="ПРАВИЛА">
        <w:r>
          <w:rPr>
            <w:sz w:val="20"/>
            <w:color w:val="0000ff"/>
          </w:rPr>
          <w:t xml:space="preserve">правила</w:t>
        </w:r>
      </w:hyperlink>
      <w:r>
        <w:rPr>
          <w:sz w:val="20"/>
        </w:rPr>
        <w:t xml:space="preserve"> расчета размера ассигнований бюджета Белгородской области на капитальный ремонт, ремонт и содержание автомобильных дорог общего пользования регионального или межмуниципального значения Белгородской области (прилагаются).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3. Министерствам финансов и бюджетной политики (Боровик В.Ф.), автомобильных дорог и транспорта (Евтушенко С.В.) Белгородской области обеспечить поэтапный переход к финансированию капитального ремонта, ремонта и содержания автомобильных дорог общего пользования регионального или межмуниципального значения Белгородской области по нормативам, установленным в </w:t>
      </w:r>
      <w:hyperlink w:history="0" w:anchor="P14" w:tooltip="1. Установить нормативы финансовых затрат на капитальный ремонт, ремонт и содержание автомобильных дорог общего пользования регионального или межмуниципального значения Белгородской области V категории в следующих размерах:">
        <w:r>
          <w:rPr>
            <w:sz w:val="20"/>
            <w:color w:val="0000ff"/>
          </w:rPr>
          <w:t xml:space="preserve">пункте 1</w:t>
        </w:r>
      </w:hyperlink>
      <w:r>
        <w:rPr>
          <w:sz w:val="20"/>
        </w:rPr>
        <w:t xml:space="preserve"> настоящего постановления, в пределах размеров бюджетных ассигнований, предусмотренных законом Белгородской области об областном бюджете на очередной финансовый год и на плановый период, до 1 января 2025 года.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4. Признать утратившим силу </w:t>
      </w:r>
      <w:hyperlink w:history="0" r:id="rId9" w:tooltip="Постановление правительства Белгородской обл. от 24.12.2012 N 584-пп &quot;О нормативах финансовых затрат на содержание, ремонт и капитальный ремонт автомобильных дорог общего пользования регионального или межмуниципального значения, порядке и правилах расчета размера ассигнований бюджета Белгородской области&quot; ------------ Утратил силу или отменен {КонсультантПлюс}">
        <w:r>
          <w:rPr>
            <w:sz w:val="20"/>
            <w:color w:val="0000ff"/>
          </w:rPr>
          <w:t xml:space="preserve">постановление</w:t>
        </w:r>
      </w:hyperlink>
      <w:r>
        <w:rPr>
          <w:sz w:val="20"/>
        </w:rPr>
        <w:t xml:space="preserve"> Правительства Белгородской области от 24 декабря 2012 года N 584-пп "О нормативах финансовых затрат на содержание, ремонт и капитальный ремонт автомобильных дорог общего пользования регионального или межмуниципального значения, порядке и правилах расчета размера ассигнований бюджета Белгородской области".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5. Контроль за исполнением настоящего постановления возложить на заместителя Губернатора Белгородской области Базарова В.В.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6. Настоящее постановление вступает в силу со дня его официального опубликования.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right"/>
      </w:pPr>
      <w:r>
        <w:rPr>
          <w:sz w:val="20"/>
        </w:rPr>
        <w:t xml:space="preserve">Губернатор Белгородской области</w:t>
      </w:r>
    </w:p>
    <w:p>
      <w:pPr>
        <w:pStyle w:val="0"/>
        <w:jc w:val="right"/>
      </w:pPr>
      <w:r>
        <w:rPr>
          <w:sz w:val="20"/>
        </w:rPr>
        <w:t xml:space="preserve">В.В.ГЛАДКОВ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outlineLvl w:val="0"/>
        <w:jc w:val="right"/>
      </w:pPr>
      <w:r>
        <w:rPr>
          <w:sz w:val="20"/>
        </w:rPr>
        <w:t xml:space="preserve">Приложение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right"/>
      </w:pPr>
      <w:r>
        <w:rPr>
          <w:sz w:val="20"/>
        </w:rPr>
        <w:t xml:space="preserve">Утверждены</w:t>
      </w:r>
    </w:p>
    <w:p>
      <w:pPr>
        <w:pStyle w:val="0"/>
        <w:jc w:val="right"/>
      </w:pPr>
      <w:r>
        <w:rPr>
          <w:sz w:val="20"/>
        </w:rPr>
        <w:t xml:space="preserve">постановлением</w:t>
      </w:r>
    </w:p>
    <w:p>
      <w:pPr>
        <w:pStyle w:val="0"/>
        <w:jc w:val="right"/>
      </w:pPr>
      <w:r>
        <w:rPr>
          <w:sz w:val="20"/>
        </w:rPr>
        <w:t xml:space="preserve">Правительства Белгородской области</w:t>
      </w:r>
    </w:p>
    <w:p>
      <w:pPr>
        <w:pStyle w:val="0"/>
        <w:jc w:val="right"/>
      </w:pPr>
      <w:r>
        <w:rPr>
          <w:sz w:val="20"/>
        </w:rPr>
        <w:t xml:space="preserve">от 11 июля 2022 г. N 415-пп</w:t>
      </w:r>
    </w:p>
    <w:p>
      <w:pPr>
        <w:pStyle w:val="0"/>
        <w:jc w:val="both"/>
      </w:pPr>
      <w:r>
        <w:rPr>
          <w:sz w:val="20"/>
        </w:rPr>
      </w:r>
    </w:p>
    <w:bookmarkStart w:id="43" w:name="P43"/>
    <w:bookmarkEnd w:id="43"/>
    <w:p>
      <w:pPr>
        <w:pStyle w:val="2"/>
        <w:jc w:val="center"/>
      </w:pPr>
      <w:r>
        <w:rPr>
          <w:sz w:val="20"/>
        </w:rPr>
        <w:t xml:space="preserve">ПРАВИЛА</w:t>
      </w:r>
    </w:p>
    <w:p>
      <w:pPr>
        <w:pStyle w:val="2"/>
        <w:jc w:val="center"/>
      </w:pPr>
      <w:r>
        <w:rPr>
          <w:sz w:val="20"/>
        </w:rPr>
        <w:t xml:space="preserve">РАСЧЕТА РАЗМЕРА АССИГНОВАНИЙ БЮДЖЕТА БЕЛГОРОДСКОЙ ОБЛАСТИ</w:t>
      </w:r>
    </w:p>
    <w:p>
      <w:pPr>
        <w:pStyle w:val="2"/>
        <w:jc w:val="center"/>
      </w:pPr>
      <w:r>
        <w:rPr>
          <w:sz w:val="20"/>
        </w:rPr>
        <w:t xml:space="preserve">НА КАПИТАЛЬНЫЙ РЕМОНТ, РЕМОНТ И СОДЕРЖАНИЕ АВТОМОБИЛЬНЫХ</w:t>
      </w:r>
    </w:p>
    <w:p>
      <w:pPr>
        <w:pStyle w:val="2"/>
        <w:jc w:val="center"/>
      </w:pPr>
      <w:r>
        <w:rPr>
          <w:sz w:val="20"/>
        </w:rPr>
        <w:t xml:space="preserve">ДОРОГ ОБЩЕГО ПОЛЬЗОВАНИЯ РЕГИОНАЛЬНОГО ИЛИ</w:t>
      </w:r>
    </w:p>
    <w:p>
      <w:pPr>
        <w:pStyle w:val="2"/>
        <w:jc w:val="center"/>
      </w:pPr>
      <w:r>
        <w:rPr>
          <w:sz w:val="20"/>
        </w:rPr>
        <w:t xml:space="preserve">МЕЖМУНИЦИПАЛЬНОГО ЗНАЧЕНИЯ БЕЛГОРОДСКОЙ ОБЛАСТИ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1. Правила расчета размера ассигнований бюджета Белгородской области на капитальный ремонт, ремонт и содержание автомобильных дорог общего пользования регионального или межмуниципального значения Белгородской области (далее - Правила) применяются для расчета размера ассигнований бюджета Белгородской области на капитальный ремонт, ремонт и содержание автомобильных дорог регионального или межмуниципального значения Белгородской области (далее - автомобильные дороги) при формировании областного бюджета на соответствующий финансовый год и плановый период.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 При расчете размера ассигнований областного бюджета на капитальный ремонт, ремонт и содержание автомобильных дорог учитывается дифференциация стоимости капитального ремонта, ремонта и содержания автомобильных дорог в зависимости от категории автомобильной дороги и количества полос движения.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 Размер ассигнований областного бюджета на капитальный ремонт, ремонт и содержание автомобильных дорог на соответствующий финансовый год (Н</w:t>
      </w:r>
      <w:r>
        <w:rPr>
          <w:sz w:val="20"/>
          <w:vertAlign w:val="subscript"/>
        </w:rPr>
        <w:t xml:space="preserve">бюд.а</w:t>
      </w:r>
      <w:r>
        <w:rPr>
          <w:sz w:val="20"/>
        </w:rPr>
        <w:t xml:space="preserve">) рассчитывается по формуле: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center"/>
      </w:pPr>
      <w:r>
        <w:rPr>
          <w:sz w:val="20"/>
        </w:rPr>
        <w:t xml:space="preserve">Н</w:t>
      </w:r>
      <w:r>
        <w:rPr>
          <w:sz w:val="20"/>
          <w:vertAlign w:val="subscript"/>
        </w:rPr>
        <w:t xml:space="preserve">бюд.а</w:t>
      </w:r>
      <w:r>
        <w:rPr>
          <w:sz w:val="20"/>
        </w:rPr>
        <w:t xml:space="preserve"> = Н</w:t>
      </w:r>
      <w:r>
        <w:rPr>
          <w:sz w:val="20"/>
          <w:vertAlign w:val="subscript"/>
        </w:rPr>
        <w:t xml:space="preserve">кап.рем.</w:t>
      </w:r>
      <w:r>
        <w:rPr>
          <w:sz w:val="20"/>
        </w:rPr>
        <w:t xml:space="preserve"> + Н</w:t>
      </w:r>
      <w:r>
        <w:rPr>
          <w:sz w:val="20"/>
          <w:vertAlign w:val="subscript"/>
        </w:rPr>
        <w:t xml:space="preserve">рем.</w:t>
      </w:r>
      <w:r>
        <w:rPr>
          <w:sz w:val="20"/>
        </w:rPr>
        <w:t xml:space="preserve"> + Н</w:t>
      </w:r>
      <w:r>
        <w:rPr>
          <w:sz w:val="20"/>
          <w:vertAlign w:val="subscript"/>
        </w:rPr>
        <w:t xml:space="preserve">сод.</w:t>
      </w:r>
      <w:r>
        <w:rPr>
          <w:sz w:val="20"/>
        </w:rPr>
        <w:t xml:space="preserve">,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где: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Н</w:t>
      </w:r>
      <w:r>
        <w:rPr>
          <w:sz w:val="20"/>
          <w:vertAlign w:val="subscript"/>
        </w:rPr>
        <w:t xml:space="preserve">кап.рем.</w:t>
      </w:r>
      <w:r>
        <w:rPr>
          <w:sz w:val="20"/>
        </w:rPr>
        <w:t xml:space="preserve"> - размер ассигнований областного бюджета на капитальный ремонт автомобильных дорог (тыс. рублей);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Н</w:t>
      </w:r>
      <w:r>
        <w:rPr>
          <w:sz w:val="20"/>
          <w:vertAlign w:val="subscript"/>
        </w:rPr>
        <w:t xml:space="preserve">рем.</w:t>
      </w:r>
      <w:r>
        <w:rPr>
          <w:sz w:val="20"/>
        </w:rPr>
        <w:t xml:space="preserve"> - размер ассигнований областного бюджета на ремонт автомобильных дорог (тыс. рублей);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Н</w:t>
      </w:r>
      <w:r>
        <w:rPr>
          <w:sz w:val="20"/>
          <w:vertAlign w:val="subscript"/>
        </w:rPr>
        <w:t xml:space="preserve">сод.</w:t>
      </w:r>
      <w:r>
        <w:rPr>
          <w:sz w:val="20"/>
        </w:rPr>
        <w:t xml:space="preserve"> - размер ассигнований областного бюджета на содержание автомобильных дорог (тыс. рублей).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4. Размер ассигнований областного бюджета на капитальный ремонт автомобильных дорог определяется как сумма бюджетных ассигнований на капитальный ремонт автомобильных дорог всех категорий, расположенных во всех муниципальных районах и городских округах Белгородской области.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Размер ассигнований областного бюджета на капитальный ремонт автомобильных дорог на соответствующий финансовый год (Н</w:t>
      </w:r>
      <w:r>
        <w:rPr>
          <w:sz w:val="20"/>
          <w:vertAlign w:val="subscript"/>
        </w:rPr>
        <w:t xml:space="preserve">кап.рем.</w:t>
      </w:r>
      <w:r>
        <w:rPr>
          <w:sz w:val="20"/>
        </w:rPr>
        <w:t xml:space="preserve">) рассчитывается по формуле: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center"/>
      </w:pPr>
      <w:r>
        <w:rPr>
          <w:sz w:val="20"/>
        </w:rPr>
        <w:t xml:space="preserve">Н</w:t>
      </w:r>
      <w:r>
        <w:rPr>
          <w:sz w:val="20"/>
          <w:vertAlign w:val="subscript"/>
        </w:rPr>
        <w:t xml:space="preserve">кап.рем.</w:t>
      </w:r>
      <w:r>
        <w:rPr>
          <w:sz w:val="20"/>
        </w:rPr>
        <w:t xml:space="preserve"> = Н</w:t>
      </w:r>
      <w:r>
        <w:rPr>
          <w:sz w:val="20"/>
          <w:vertAlign w:val="subscript"/>
        </w:rPr>
        <w:t xml:space="preserve">V.кап.рем.</w:t>
      </w:r>
      <w:r>
        <w:rPr>
          <w:sz w:val="20"/>
        </w:rPr>
        <w:t xml:space="preserve"> x К</w:t>
      </w:r>
      <w:r>
        <w:rPr>
          <w:sz w:val="20"/>
          <w:vertAlign w:val="subscript"/>
        </w:rPr>
        <w:t xml:space="preserve">Кат.кап.рем.</w:t>
      </w:r>
      <w:r>
        <w:rPr>
          <w:sz w:val="20"/>
        </w:rPr>
        <w:t xml:space="preserve"> x К</w:t>
      </w:r>
      <w:r>
        <w:rPr>
          <w:sz w:val="20"/>
          <w:vertAlign w:val="subscript"/>
        </w:rPr>
        <w:t xml:space="preserve">полос.кап.рем.</w:t>
      </w:r>
      <w:r>
        <w:rPr>
          <w:sz w:val="20"/>
        </w:rPr>
        <w:t xml:space="preserve"> x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center"/>
      </w:pPr>
      <w:r>
        <w:rPr>
          <w:sz w:val="20"/>
        </w:rPr>
        <w:t xml:space="preserve">x К</w:t>
      </w:r>
      <w:r>
        <w:rPr>
          <w:sz w:val="20"/>
          <w:vertAlign w:val="subscript"/>
        </w:rPr>
        <w:t xml:space="preserve">деф.иок.</w:t>
      </w:r>
      <w:r>
        <w:rPr>
          <w:sz w:val="20"/>
        </w:rPr>
        <w:t xml:space="preserve"> x L</w:t>
      </w:r>
      <w:r>
        <w:rPr>
          <w:sz w:val="20"/>
          <w:vertAlign w:val="subscript"/>
        </w:rPr>
        <w:t xml:space="preserve">кап.рем.</w:t>
      </w:r>
      <w:r>
        <w:rPr>
          <w:sz w:val="20"/>
        </w:rPr>
        <w:t xml:space="preserve">,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где: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Н</w:t>
      </w:r>
      <w:r>
        <w:rPr>
          <w:sz w:val="20"/>
          <w:vertAlign w:val="subscript"/>
        </w:rPr>
        <w:t xml:space="preserve">V.кап.рем.</w:t>
      </w:r>
      <w:r>
        <w:rPr>
          <w:sz w:val="20"/>
        </w:rPr>
        <w:t xml:space="preserve"> - установленный Правительством Белгородской области норматив финансовых затрат на капитальный ремонт автомобильных дорог V категории;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К</w:t>
      </w:r>
      <w:r>
        <w:rPr>
          <w:sz w:val="20"/>
          <w:vertAlign w:val="subscript"/>
        </w:rPr>
        <w:t xml:space="preserve">кат.кап.рем.</w:t>
      </w:r>
      <w:r>
        <w:rPr>
          <w:sz w:val="20"/>
        </w:rPr>
        <w:t xml:space="preserve"> - </w:t>
      </w:r>
      <w:hyperlink w:history="0" w:anchor="P120" w:tooltip="Коэффициенты, учитывающие дифференциацию стоимости">
        <w:r>
          <w:rPr>
            <w:sz w:val="20"/>
            <w:color w:val="0000ff"/>
          </w:rPr>
          <w:t xml:space="preserve">коэффициент</w:t>
        </w:r>
      </w:hyperlink>
      <w:r>
        <w:rPr>
          <w:sz w:val="20"/>
        </w:rPr>
        <w:t xml:space="preserve">, учитывающий дифференциацию стоимости капитального ремонта автомобильных дорог по категориям автомобильных дорог, согласно приложению N 1 к Правилам;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К</w:t>
      </w:r>
      <w:r>
        <w:rPr>
          <w:sz w:val="20"/>
          <w:vertAlign w:val="subscript"/>
        </w:rPr>
        <w:t xml:space="preserve">полос.кап.рем.</w:t>
      </w:r>
      <w:r>
        <w:rPr>
          <w:sz w:val="20"/>
        </w:rPr>
        <w:t xml:space="preserve"> </w:t>
      </w:r>
      <w:r>
        <w:rPr>
          <w:sz w:val="20"/>
          <w:vertAlign w:val="superscript"/>
        </w:rPr>
        <w:t xml:space="preserve">-</w:t>
      </w:r>
      <w:r>
        <w:rPr>
          <w:sz w:val="20"/>
        </w:rPr>
        <w:t xml:space="preserve"> </w:t>
      </w:r>
      <w:hyperlink w:history="0" w:anchor="P158" w:tooltip="Коэффициенты, учитывающие дифференциацию стоимости">
        <w:r>
          <w:rPr>
            <w:sz w:val="20"/>
            <w:color w:val="0000ff"/>
          </w:rPr>
          <w:t xml:space="preserve">коэффициент</w:t>
        </w:r>
      </w:hyperlink>
      <w:r>
        <w:rPr>
          <w:sz w:val="20"/>
        </w:rPr>
        <w:t xml:space="preserve">, учитывающий дифференциацию стоимости работ по капитальному ремонту автомобильных дорог по количеству полос движения, согласно приложению N 2 к Правилам;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К</w:t>
      </w:r>
      <w:r>
        <w:rPr>
          <w:sz w:val="20"/>
          <w:vertAlign w:val="subscript"/>
        </w:rPr>
        <w:t xml:space="preserve">деф.иок.</w:t>
      </w:r>
      <w:r>
        <w:rPr>
          <w:sz w:val="20"/>
        </w:rPr>
        <w:t xml:space="preserve"> - индекс-дефлятор инвестиций в основной капитал за счет всех источников финансирования на год планирования (при расчете на период более одного года - произведение индексов-дефляторов на соответствующие годы начиная с индекса-дефлятора на 2023 год), разработанный Министерством экономического развития Российской Федерации для прогноза социально-экономического развития и учитываемый при формировании областного бюджета на соответствующий финансовый год и плановый период;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L</w:t>
      </w:r>
      <w:r>
        <w:rPr>
          <w:sz w:val="20"/>
          <w:vertAlign w:val="subscript"/>
        </w:rPr>
        <w:t xml:space="preserve">кап.рем.</w:t>
      </w:r>
      <w:r>
        <w:rPr>
          <w:sz w:val="20"/>
        </w:rPr>
        <w:t xml:space="preserve"> - расчетная протяженность автомобильных дорог соответствующей категории, подлежащих капитальному ремонту на год планирования, определяемая по формуле: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center"/>
      </w:pPr>
      <w:r>
        <w:rPr>
          <w:sz w:val="20"/>
        </w:rPr>
        <w:t xml:space="preserve">L</w:t>
      </w:r>
      <w:r>
        <w:rPr>
          <w:sz w:val="20"/>
          <w:vertAlign w:val="subscript"/>
        </w:rPr>
        <w:t xml:space="preserve">кап.рем.</w:t>
      </w:r>
      <w:r>
        <w:rPr>
          <w:sz w:val="20"/>
        </w:rPr>
        <w:t xml:space="preserve"> = L / Т</w:t>
      </w:r>
      <w:r>
        <w:rPr>
          <w:sz w:val="20"/>
          <w:vertAlign w:val="subscript"/>
        </w:rPr>
        <w:t xml:space="preserve">кап.рем.</w:t>
      </w:r>
      <w:r>
        <w:rPr>
          <w:sz w:val="20"/>
        </w:rPr>
        <w:t xml:space="preserve"> </w:t>
      </w:r>
      <w:r>
        <w:rPr>
          <w:sz w:val="20"/>
          <w:vertAlign w:val="superscript"/>
        </w:rPr>
        <w:t xml:space="preserve">-</w:t>
      </w:r>
      <w:r>
        <w:rPr>
          <w:sz w:val="20"/>
        </w:rPr>
        <w:t xml:space="preserve"> L</w:t>
      </w:r>
      <w:r>
        <w:rPr>
          <w:sz w:val="20"/>
          <w:vertAlign w:val="subscript"/>
        </w:rPr>
        <w:t xml:space="preserve">рек.</w:t>
      </w:r>
      <w:r>
        <w:rPr>
          <w:sz w:val="20"/>
        </w:rPr>
        <w:t xml:space="preserve">,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где: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L - протяженность автомобильных дорог соответствующей категории на 1 января года планирования с учетом изменения протяженности автомобильных дорог в результате ввода объектов строительства и реконструкции, а также приема-передачи автомобильных дорог, предусмотренного в течение года планирования (км);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Т</w:t>
      </w:r>
      <w:r>
        <w:rPr>
          <w:sz w:val="20"/>
          <w:vertAlign w:val="subscript"/>
        </w:rPr>
        <w:t xml:space="preserve">кап.рем.</w:t>
      </w:r>
      <w:r>
        <w:rPr>
          <w:sz w:val="20"/>
        </w:rPr>
        <w:t xml:space="preserve"> - нормативный межремонтный </w:t>
      </w:r>
      <w:hyperlink w:history="0" w:anchor="P186" w:tooltip="Нормативные межремонтные сроки, применяемые для расчета">
        <w:r>
          <w:rPr>
            <w:sz w:val="20"/>
            <w:color w:val="0000ff"/>
          </w:rPr>
          <w:t xml:space="preserve">срок</w:t>
        </w:r>
      </w:hyperlink>
      <w:r>
        <w:rPr>
          <w:sz w:val="20"/>
        </w:rPr>
        <w:t xml:space="preserve"> по капитальному ремонту для автомобильных дорог соответствующей категории, применяемый для расчета размера ассигнований областного бюджета на капитальный ремонт автомобильных дорог, согласно приложению N 3 к Правилам;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L</w:t>
      </w:r>
      <w:r>
        <w:rPr>
          <w:sz w:val="20"/>
          <w:vertAlign w:val="subscript"/>
        </w:rPr>
        <w:t xml:space="preserve">рек.</w:t>
      </w:r>
      <w:r>
        <w:rPr>
          <w:sz w:val="20"/>
        </w:rPr>
        <w:t xml:space="preserve"> - протяженность автомобильных дорог соответствующей категории, намеченных к реконструкции на год планирования (км в год).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5. Размер ассигнований областного бюджета на ремонт автомобильных дорог определяется как сумма бюджетных ассигнований на ремонт автомобильных дорог по всем категориям автомобильных дорог, расположенных во всех муниципальных районах и городских округах Белгородской области.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Размер ассигнований областного бюджета на ремонт автомобильных дорог (Н</w:t>
      </w:r>
      <w:r>
        <w:rPr>
          <w:sz w:val="20"/>
          <w:vertAlign w:val="subscript"/>
        </w:rPr>
        <w:t xml:space="preserve">рем.</w:t>
      </w:r>
      <w:r>
        <w:rPr>
          <w:sz w:val="20"/>
        </w:rPr>
        <w:t xml:space="preserve">) рассчитывается по формуле: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center"/>
      </w:pPr>
      <w:r>
        <w:rPr>
          <w:sz w:val="20"/>
        </w:rPr>
        <w:t xml:space="preserve">Н</w:t>
      </w:r>
      <w:r>
        <w:rPr>
          <w:sz w:val="20"/>
          <w:vertAlign w:val="subscript"/>
        </w:rPr>
        <w:t xml:space="preserve">рем.</w:t>
      </w:r>
      <w:r>
        <w:rPr>
          <w:sz w:val="20"/>
        </w:rPr>
        <w:t xml:space="preserve"> = Н</w:t>
      </w:r>
      <w:r>
        <w:rPr>
          <w:sz w:val="20"/>
          <w:vertAlign w:val="subscript"/>
        </w:rPr>
        <w:t xml:space="preserve">V.рем.</w:t>
      </w:r>
      <w:r>
        <w:rPr>
          <w:sz w:val="20"/>
        </w:rPr>
        <w:t xml:space="preserve"> x К</w:t>
      </w:r>
      <w:r>
        <w:rPr>
          <w:sz w:val="20"/>
          <w:vertAlign w:val="subscript"/>
        </w:rPr>
        <w:t xml:space="preserve">кат.рем.</w:t>
      </w:r>
      <w:r>
        <w:rPr>
          <w:sz w:val="20"/>
        </w:rPr>
        <w:t xml:space="preserve"> x К</w:t>
      </w:r>
      <w:r>
        <w:rPr>
          <w:sz w:val="20"/>
          <w:vertAlign w:val="subscript"/>
        </w:rPr>
        <w:t xml:space="preserve">полос.рем.</w:t>
      </w:r>
      <w:r>
        <w:rPr>
          <w:sz w:val="20"/>
        </w:rPr>
        <w:t xml:space="preserve"> x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center"/>
      </w:pPr>
      <w:r>
        <w:rPr>
          <w:sz w:val="20"/>
        </w:rPr>
        <w:t xml:space="preserve">x К</w:t>
      </w:r>
      <w:r>
        <w:rPr>
          <w:sz w:val="20"/>
          <w:vertAlign w:val="subscript"/>
        </w:rPr>
        <w:t xml:space="preserve">деф.иок.</w:t>
      </w:r>
      <w:r>
        <w:rPr>
          <w:sz w:val="20"/>
        </w:rPr>
        <w:t xml:space="preserve"> x L</w:t>
      </w:r>
      <w:r>
        <w:rPr>
          <w:sz w:val="20"/>
          <w:vertAlign w:val="subscript"/>
        </w:rPr>
        <w:t xml:space="preserve">рем.</w:t>
      </w:r>
      <w:r>
        <w:rPr>
          <w:sz w:val="20"/>
        </w:rPr>
        <w:t xml:space="preserve">,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где: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Н</w:t>
      </w:r>
      <w:r>
        <w:rPr>
          <w:sz w:val="20"/>
          <w:vertAlign w:val="subscript"/>
        </w:rPr>
        <w:t xml:space="preserve">V.рем.</w:t>
      </w:r>
      <w:r>
        <w:rPr>
          <w:sz w:val="20"/>
        </w:rPr>
        <w:t xml:space="preserve"> - установленный Правительством Белгородской области норматив финансовых затрат на ремонт автомобильных дорог V категории;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К</w:t>
      </w:r>
      <w:r>
        <w:rPr>
          <w:sz w:val="20"/>
          <w:vertAlign w:val="subscript"/>
        </w:rPr>
        <w:t xml:space="preserve">кат.рем.</w:t>
      </w:r>
      <w:r>
        <w:rPr>
          <w:sz w:val="20"/>
        </w:rPr>
        <w:t xml:space="preserve"> - </w:t>
      </w:r>
      <w:hyperlink w:history="0" w:anchor="P120" w:tooltip="Коэффициенты, учитывающие дифференциацию стоимости">
        <w:r>
          <w:rPr>
            <w:sz w:val="20"/>
            <w:color w:val="0000ff"/>
          </w:rPr>
          <w:t xml:space="preserve">коэффициент</w:t>
        </w:r>
      </w:hyperlink>
      <w:r>
        <w:rPr>
          <w:sz w:val="20"/>
        </w:rPr>
        <w:t xml:space="preserve">, учитывающий дифференциацию стоимости ремонта автомобильных дорог по соответствующим категориям, согласно приложению N 1 к Правилам;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К</w:t>
      </w:r>
      <w:r>
        <w:rPr>
          <w:sz w:val="20"/>
          <w:vertAlign w:val="subscript"/>
        </w:rPr>
        <w:t xml:space="preserve">полос.рем.</w:t>
      </w:r>
      <w:r>
        <w:rPr>
          <w:sz w:val="20"/>
        </w:rPr>
        <w:t xml:space="preserve"> - </w:t>
      </w:r>
      <w:hyperlink w:history="0" w:anchor="P158" w:tooltip="Коэффициенты, учитывающие дифференциацию стоимости">
        <w:r>
          <w:rPr>
            <w:sz w:val="20"/>
            <w:color w:val="0000ff"/>
          </w:rPr>
          <w:t xml:space="preserve">коэффициент</w:t>
        </w:r>
      </w:hyperlink>
      <w:r>
        <w:rPr>
          <w:sz w:val="20"/>
        </w:rPr>
        <w:t xml:space="preserve">, учитывающий дифференциацию стоимости ремонта автомобильных дорог по количеству полос движения, согласно приложению N 2 к Правилам;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К</w:t>
      </w:r>
      <w:r>
        <w:rPr>
          <w:sz w:val="20"/>
          <w:vertAlign w:val="subscript"/>
        </w:rPr>
        <w:t xml:space="preserve">деф.иок.</w:t>
      </w:r>
      <w:r>
        <w:rPr>
          <w:sz w:val="20"/>
        </w:rPr>
        <w:t xml:space="preserve"> - индекс-дефлятор инвестиций в основной капитал за счет всех источников финансирования на год планирования (при расчете на период более одного года - произведение индексов-дефляторов на соответствующие годы, начиная с индекса-дефлятора на 2023 год), разработанный Министерством экономического развития Российской Федерации для прогноза социально-экономического развития и учитываемый при формировании областного бюджета на соответствующий финансовый год и плановый период;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L</w:t>
      </w:r>
      <w:r>
        <w:rPr>
          <w:sz w:val="20"/>
          <w:vertAlign w:val="subscript"/>
        </w:rPr>
        <w:t xml:space="preserve">рем.</w:t>
      </w:r>
      <w:r>
        <w:rPr>
          <w:sz w:val="20"/>
        </w:rPr>
        <w:t xml:space="preserve"> - расчетная протяженность автомобильных дорог соответствующей категории, подлежащих ремонту на год планирования, определяемая по формуле: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center"/>
      </w:pPr>
      <w:r>
        <w:rPr>
          <w:sz w:val="20"/>
        </w:rPr>
        <w:t xml:space="preserve">L</w:t>
      </w:r>
      <w:r>
        <w:rPr>
          <w:sz w:val="20"/>
          <w:vertAlign w:val="subscript"/>
        </w:rPr>
        <w:t xml:space="preserve">рем.</w:t>
      </w:r>
      <w:r>
        <w:rPr>
          <w:sz w:val="20"/>
        </w:rPr>
        <w:t xml:space="preserve"> = L / Т</w:t>
      </w:r>
      <w:r>
        <w:rPr>
          <w:sz w:val="20"/>
          <w:vertAlign w:val="subscript"/>
        </w:rPr>
        <w:t xml:space="preserve">рем.</w:t>
      </w:r>
      <w:r>
        <w:rPr>
          <w:sz w:val="20"/>
        </w:rPr>
        <w:t xml:space="preserve"> </w:t>
      </w:r>
      <w:r>
        <w:rPr>
          <w:sz w:val="20"/>
          <w:vertAlign w:val="superscript"/>
        </w:rPr>
        <w:t xml:space="preserve">-</w:t>
      </w:r>
      <w:r>
        <w:rPr>
          <w:sz w:val="20"/>
        </w:rPr>
        <w:t xml:space="preserve"> (L</w:t>
      </w:r>
      <w:r>
        <w:rPr>
          <w:sz w:val="20"/>
          <w:vertAlign w:val="subscript"/>
        </w:rPr>
        <w:t xml:space="preserve">рек.</w:t>
      </w:r>
      <w:r>
        <w:rPr>
          <w:sz w:val="20"/>
        </w:rPr>
        <w:t xml:space="preserve"> + L</w:t>
      </w:r>
      <w:r>
        <w:rPr>
          <w:sz w:val="20"/>
          <w:vertAlign w:val="subscript"/>
        </w:rPr>
        <w:t xml:space="preserve">кап.рем.</w:t>
      </w:r>
      <w:r>
        <w:rPr>
          <w:sz w:val="20"/>
        </w:rPr>
        <w:t xml:space="preserve">),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где: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Т</w:t>
      </w:r>
      <w:r>
        <w:rPr>
          <w:sz w:val="20"/>
          <w:vertAlign w:val="subscript"/>
        </w:rPr>
        <w:t xml:space="preserve">рем.</w:t>
      </w:r>
      <w:r>
        <w:rPr>
          <w:sz w:val="20"/>
        </w:rPr>
        <w:t xml:space="preserve"> - нормативный межремонтный </w:t>
      </w:r>
      <w:hyperlink w:history="0" w:anchor="P186" w:tooltip="Нормативные межремонтные сроки, применяемые для расчета">
        <w:r>
          <w:rPr>
            <w:sz w:val="20"/>
            <w:color w:val="0000ff"/>
          </w:rPr>
          <w:t xml:space="preserve">срок</w:t>
        </w:r>
      </w:hyperlink>
      <w:r>
        <w:rPr>
          <w:sz w:val="20"/>
        </w:rPr>
        <w:t xml:space="preserve"> по ремонту для автомобильных дорог соответствующей категории, применяемый для расчета размера ассигнований областного бюджета на ремонт автомобильных дорог, согласно приложению N 3 к Правилам.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6. Размер ассигнований областного бюджета на содержание автомобильных дорог определяется как сумма бюджетных ассигнований на содержание автомобильных дорог по всем категориям автомобильных дорог, расположенных во всех муниципальных районах и городских округах Белгородской области.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Размер ассигнований областного бюджета на содержание автомобильных дорог (Н</w:t>
      </w:r>
      <w:r>
        <w:rPr>
          <w:sz w:val="20"/>
          <w:vertAlign w:val="subscript"/>
        </w:rPr>
        <w:t xml:space="preserve">сод.</w:t>
      </w:r>
      <w:r>
        <w:rPr>
          <w:sz w:val="20"/>
        </w:rPr>
        <w:t xml:space="preserve">) рассчитывается по формуле: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center"/>
      </w:pPr>
      <w:r>
        <w:rPr>
          <w:sz w:val="20"/>
        </w:rPr>
        <w:t xml:space="preserve">Н</w:t>
      </w:r>
      <w:r>
        <w:rPr>
          <w:sz w:val="20"/>
          <w:vertAlign w:val="subscript"/>
        </w:rPr>
        <w:t xml:space="preserve">сод.</w:t>
      </w:r>
      <w:r>
        <w:rPr>
          <w:sz w:val="20"/>
        </w:rPr>
        <w:t xml:space="preserve"> = Н</w:t>
      </w:r>
      <w:r>
        <w:rPr>
          <w:sz w:val="20"/>
          <w:vertAlign w:val="subscript"/>
        </w:rPr>
        <w:t xml:space="preserve">V.сод.</w:t>
      </w:r>
      <w:r>
        <w:rPr>
          <w:sz w:val="20"/>
        </w:rPr>
        <w:t xml:space="preserve"> x К</w:t>
      </w:r>
      <w:r>
        <w:rPr>
          <w:sz w:val="20"/>
          <w:vertAlign w:val="subscript"/>
        </w:rPr>
        <w:t xml:space="preserve">кат.сод.</w:t>
      </w:r>
      <w:r>
        <w:rPr>
          <w:sz w:val="20"/>
        </w:rPr>
        <w:t xml:space="preserve"> x К</w:t>
      </w:r>
      <w:r>
        <w:rPr>
          <w:sz w:val="20"/>
          <w:vertAlign w:val="subscript"/>
        </w:rPr>
        <w:t xml:space="preserve">полос.сод.</w:t>
      </w:r>
      <w:r>
        <w:rPr>
          <w:sz w:val="20"/>
        </w:rPr>
        <w:t xml:space="preserve"> x К</w:t>
      </w:r>
      <w:r>
        <w:rPr>
          <w:sz w:val="20"/>
          <w:vertAlign w:val="subscript"/>
        </w:rPr>
        <w:t xml:space="preserve">деф.ипц.</w:t>
      </w:r>
      <w:r>
        <w:rPr>
          <w:sz w:val="20"/>
        </w:rPr>
        <w:t xml:space="preserve"> x L,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где: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Н</w:t>
      </w:r>
      <w:r>
        <w:rPr>
          <w:sz w:val="20"/>
          <w:vertAlign w:val="subscript"/>
        </w:rPr>
        <w:t xml:space="preserve">V.сод.</w:t>
      </w:r>
      <w:r>
        <w:rPr>
          <w:sz w:val="20"/>
        </w:rPr>
        <w:t xml:space="preserve"> - установленный Правительством Белгородской области норматив финансовых затрат на содержание автомобильных дорог V категории;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К</w:t>
      </w:r>
      <w:r>
        <w:rPr>
          <w:sz w:val="20"/>
          <w:vertAlign w:val="subscript"/>
        </w:rPr>
        <w:t xml:space="preserve">кат.сод.</w:t>
      </w:r>
      <w:r>
        <w:rPr>
          <w:sz w:val="20"/>
        </w:rPr>
        <w:t xml:space="preserve"> - </w:t>
      </w:r>
      <w:hyperlink w:history="0" w:anchor="P120" w:tooltip="Коэффициенты, учитывающие дифференциацию стоимости">
        <w:r>
          <w:rPr>
            <w:sz w:val="20"/>
            <w:color w:val="0000ff"/>
          </w:rPr>
          <w:t xml:space="preserve">коэффициент</w:t>
        </w:r>
      </w:hyperlink>
      <w:r>
        <w:rPr>
          <w:sz w:val="20"/>
        </w:rPr>
        <w:t xml:space="preserve">, учитывающий дифференциацию стоимости содержания автомобильных дорог по соответствующим категориям, согласно приложению N 1 к Правилам;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К</w:t>
      </w:r>
      <w:r>
        <w:rPr>
          <w:sz w:val="20"/>
          <w:vertAlign w:val="subscript"/>
        </w:rPr>
        <w:t xml:space="preserve">полос.сод.</w:t>
      </w:r>
      <w:r>
        <w:rPr>
          <w:sz w:val="20"/>
        </w:rPr>
        <w:t xml:space="preserve"> - </w:t>
      </w:r>
      <w:hyperlink w:history="0" w:anchor="P158" w:tooltip="Коэффициенты, учитывающие дифференциацию стоимости">
        <w:r>
          <w:rPr>
            <w:sz w:val="20"/>
            <w:color w:val="0000ff"/>
          </w:rPr>
          <w:t xml:space="preserve">коэффициент</w:t>
        </w:r>
      </w:hyperlink>
      <w:r>
        <w:rPr>
          <w:sz w:val="20"/>
        </w:rPr>
        <w:t xml:space="preserve">, учитывающий дифференциацию стоимости содержания автомобильных дорог по количеству полос движения, согласно приложению N 2 к Правилам;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К</w:t>
      </w:r>
      <w:r>
        <w:rPr>
          <w:sz w:val="20"/>
          <w:vertAlign w:val="subscript"/>
        </w:rPr>
        <w:t xml:space="preserve">деф.ипц.</w:t>
      </w:r>
      <w:r>
        <w:rPr>
          <w:sz w:val="20"/>
        </w:rPr>
        <w:t xml:space="preserve"> - индекс-дефлятор потребительских цен на год планирования (при расчете на период более одного года - произведение индексов потребительских цен на соответствующие годы, начиная с индекса-дефлятора на 2023 год), разработанный Министерством экономического развития Российской Федерации для прогноза социально-экономического развития и учитываемый при формировании областного бюджета на соответствующий финансовый год и плановый период.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outlineLvl w:val="1"/>
        <w:jc w:val="right"/>
      </w:pPr>
      <w:r>
        <w:rPr>
          <w:sz w:val="20"/>
        </w:rPr>
        <w:t xml:space="preserve">Приложение N 1</w:t>
      </w:r>
    </w:p>
    <w:p>
      <w:pPr>
        <w:pStyle w:val="0"/>
        <w:jc w:val="right"/>
      </w:pPr>
      <w:r>
        <w:rPr>
          <w:sz w:val="20"/>
        </w:rPr>
        <w:t xml:space="preserve">к Правилам расчета размера ассигнований</w:t>
      </w:r>
    </w:p>
    <w:p>
      <w:pPr>
        <w:pStyle w:val="0"/>
        <w:jc w:val="right"/>
      </w:pPr>
      <w:r>
        <w:rPr>
          <w:sz w:val="20"/>
        </w:rPr>
        <w:t xml:space="preserve">бюджета Белгородской области на</w:t>
      </w:r>
    </w:p>
    <w:p>
      <w:pPr>
        <w:pStyle w:val="0"/>
        <w:jc w:val="right"/>
      </w:pPr>
      <w:r>
        <w:rPr>
          <w:sz w:val="20"/>
        </w:rPr>
        <w:t xml:space="preserve">капитальный ремонт, ремонт и содержание</w:t>
      </w:r>
    </w:p>
    <w:p>
      <w:pPr>
        <w:pStyle w:val="0"/>
        <w:jc w:val="right"/>
      </w:pPr>
      <w:r>
        <w:rPr>
          <w:sz w:val="20"/>
        </w:rPr>
        <w:t xml:space="preserve">автомобильных дорог общего пользования</w:t>
      </w:r>
    </w:p>
    <w:p>
      <w:pPr>
        <w:pStyle w:val="0"/>
        <w:jc w:val="right"/>
      </w:pPr>
      <w:r>
        <w:rPr>
          <w:sz w:val="20"/>
        </w:rPr>
        <w:t xml:space="preserve">регионального или межмуниципального</w:t>
      </w:r>
    </w:p>
    <w:p>
      <w:pPr>
        <w:pStyle w:val="0"/>
        <w:jc w:val="right"/>
      </w:pPr>
      <w:r>
        <w:rPr>
          <w:sz w:val="20"/>
        </w:rPr>
        <w:t xml:space="preserve">значения Белгородской области</w:t>
      </w:r>
    </w:p>
    <w:p>
      <w:pPr>
        <w:pStyle w:val="0"/>
        <w:jc w:val="both"/>
      </w:pPr>
      <w:r>
        <w:rPr>
          <w:sz w:val="20"/>
        </w:rPr>
      </w:r>
    </w:p>
    <w:bookmarkStart w:id="120" w:name="P120"/>
    <w:bookmarkEnd w:id="120"/>
    <w:p>
      <w:pPr>
        <w:pStyle w:val="2"/>
        <w:jc w:val="center"/>
      </w:pPr>
      <w:r>
        <w:rPr>
          <w:sz w:val="20"/>
        </w:rPr>
        <w:t xml:space="preserve">Коэффициенты, учитывающие дифференциацию стоимости</w:t>
      </w:r>
    </w:p>
    <w:p>
      <w:pPr>
        <w:pStyle w:val="2"/>
        <w:jc w:val="center"/>
      </w:pPr>
      <w:r>
        <w:rPr>
          <w:sz w:val="20"/>
        </w:rPr>
        <w:t xml:space="preserve">капитального ремонта, ремонта и содержания</w:t>
      </w:r>
    </w:p>
    <w:p>
      <w:pPr>
        <w:pStyle w:val="2"/>
        <w:jc w:val="center"/>
      </w:pPr>
      <w:r>
        <w:rPr>
          <w:sz w:val="20"/>
        </w:rPr>
        <w:t xml:space="preserve">автомобильных дорог по категориям</w:t>
      </w:r>
    </w:p>
    <w:p>
      <w:pPr>
        <w:pStyle w:val="0"/>
        <w:jc w:val="both"/>
      </w:pPr>
      <w:r>
        <w:rPr>
          <w:sz w:val="20"/>
        </w:rPr>
      </w:r>
    </w:p>
    <w:tbl>
      <w:tblPr>
        <w:tblInd w:w="0" w:type="dxa"/>
        <w:tblLayout w:type="fixed"/>
        <w:tblBorders>
          <w:top w:val="single" w:sz="4"/>
          <w:left w:val="single" w:sz="4"/>
          <w:bottom w:val="single" w:sz="4"/>
          <w:right w:val="single" w:sz="4"/>
          <w:insideV w:val="single" w:sz="4"/>
          <w:insideH w:val="single" w:sz="4"/>
        </w:tblBorders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2381"/>
        <w:gridCol w:w="964"/>
        <w:gridCol w:w="1020"/>
        <w:gridCol w:w="907"/>
        <w:gridCol w:w="850"/>
      </w:tblGrid>
      <w:tr>
        <w:tc>
          <w:tcPr>
            <w:tcW w:w="2381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Вид работ</w:t>
            </w:r>
          </w:p>
        </w:tc>
        <w:tc>
          <w:tcPr>
            <w:gridSpan w:val="4"/>
            <w:tcW w:w="3741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Категории автомобильных дорог</w:t>
            </w:r>
          </w:p>
        </w:tc>
      </w:tr>
      <w:tr>
        <w:tc>
          <w:tcPr>
            <w:vMerge w:val="continue"/>
          </w:tcPr>
          <w:p/>
        </w:tc>
        <w:tc>
          <w:tcPr>
            <w:tcW w:w="9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II</w:t>
            </w:r>
          </w:p>
        </w:tc>
        <w:tc>
          <w:tcPr>
            <w:tcW w:w="102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III</w:t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IV</w:t>
            </w:r>
          </w:p>
        </w:tc>
        <w:tc>
          <w:tcPr>
            <w:tcW w:w="85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V</w:t>
            </w:r>
          </w:p>
        </w:tc>
      </w:tr>
      <w:tr>
        <w:tc>
          <w:tcPr>
            <w:tcW w:w="2381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Капитальный ремонт</w:t>
            </w:r>
          </w:p>
        </w:tc>
        <w:tc>
          <w:tcPr>
            <w:tcW w:w="9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5,58</w:t>
            </w:r>
          </w:p>
        </w:tc>
        <w:tc>
          <w:tcPr>
            <w:tcW w:w="102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3,58</w:t>
            </w:r>
          </w:p>
        </w:tc>
        <w:tc>
          <w:tcPr>
            <w:tcW w:w="907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2,49</w:t>
            </w:r>
          </w:p>
        </w:tc>
        <w:tc>
          <w:tcPr>
            <w:tcW w:w="85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</w:t>
            </w:r>
          </w:p>
        </w:tc>
      </w:tr>
      <w:tr>
        <w:tc>
          <w:tcPr>
            <w:tcW w:w="2381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Ремонт</w:t>
            </w:r>
          </w:p>
        </w:tc>
        <w:tc>
          <w:tcPr>
            <w:tcW w:w="9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5,54</w:t>
            </w:r>
          </w:p>
        </w:tc>
        <w:tc>
          <w:tcPr>
            <w:tcW w:w="102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3,59</w:t>
            </w:r>
          </w:p>
        </w:tc>
        <w:tc>
          <w:tcPr>
            <w:tcW w:w="907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2,6</w:t>
            </w:r>
          </w:p>
        </w:tc>
        <w:tc>
          <w:tcPr>
            <w:tcW w:w="85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</w:t>
            </w:r>
          </w:p>
        </w:tc>
      </w:tr>
      <w:tr>
        <w:tc>
          <w:tcPr>
            <w:tcW w:w="2381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Содержание</w:t>
            </w:r>
          </w:p>
        </w:tc>
        <w:tc>
          <w:tcPr>
            <w:tcW w:w="9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2,55</w:t>
            </w:r>
          </w:p>
        </w:tc>
        <w:tc>
          <w:tcPr>
            <w:tcW w:w="102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1,51</w:t>
            </w:r>
          </w:p>
        </w:tc>
        <w:tc>
          <w:tcPr>
            <w:tcW w:w="907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1,15</w:t>
            </w:r>
          </w:p>
        </w:tc>
        <w:tc>
          <w:tcPr>
            <w:tcW w:w="85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</w:t>
            </w:r>
          </w:p>
        </w:tc>
      </w:tr>
    </w:tbl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outlineLvl w:val="1"/>
        <w:jc w:val="right"/>
      </w:pPr>
      <w:r>
        <w:rPr>
          <w:sz w:val="20"/>
        </w:rPr>
        <w:t xml:space="preserve">Приложение N 2</w:t>
      </w:r>
    </w:p>
    <w:p>
      <w:pPr>
        <w:pStyle w:val="0"/>
        <w:jc w:val="right"/>
      </w:pPr>
      <w:r>
        <w:rPr>
          <w:sz w:val="20"/>
        </w:rPr>
        <w:t xml:space="preserve">к Правилам расчета размера ассигнований</w:t>
      </w:r>
    </w:p>
    <w:p>
      <w:pPr>
        <w:pStyle w:val="0"/>
        <w:jc w:val="right"/>
      </w:pPr>
      <w:r>
        <w:rPr>
          <w:sz w:val="20"/>
        </w:rPr>
        <w:t xml:space="preserve">бюджета Белгородской области на</w:t>
      </w:r>
    </w:p>
    <w:p>
      <w:pPr>
        <w:pStyle w:val="0"/>
        <w:jc w:val="right"/>
      </w:pPr>
      <w:r>
        <w:rPr>
          <w:sz w:val="20"/>
        </w:rPr>
        <w:t xml:space="preserve">капитальный ремонт, ремонт и содержание</w:t>
      </w:r>
    </w:p>
    <w:p>
      <w:pPr>
        <w:pStyle w:val="0"/>
        <w:jc w:val="right"/>
      </w:pPr>
      <w:r>
        <w:rPr>
          <w:sz w:val="20"/>
        </w:rPr>
        <w:t xml:space="preserve">автомобильных дорог общего пользования</w:t>
      </w:r>
    </w:p>
    <w:p>
      <w:pPr>
        <w:pStyle w:val="0"/>
        <w:jc w:val="right"/>
      </w:pPr>
      <w:r>
        <w:rPr>
          <w:sz w:val="20"/>
        </w:rPr>
        <w:t xml:space="preserve">регионального или межмуниципального</w:t>
      </w:r>
    </w:p>
    <w:p>
      <w:pPr>
        <w:pStyle w:val="0"/>
        <w:jc w:val="right"/>
      </w:pPr>
      <w:r>
        <w:rPr>
          <w:sz w:val="20"/>
        </w:rPr>
        <w:t xml:space="preserve">значения Белгородской области</w:t>
      </w:r>
    </w:p>
    <w:p>
      <w:pPr>
        <w:pStyle w:val="0"/>
        <w:jc w:val="both"/>
      </w:pPr>
      <w:r>
        <w:rPr>
          <w:sz w:val="20"/>
        </w:rPr>
      </w:r>
    </w:p>
    <w:bookmarkStart w:id="158" w:name="P158"/>
    <w:bookmarkEnd w:id="158"/>
    <w:p>
      <w:pPr>
        <w:pStyle w:val="2"/>
        <w:jc w:val="center"/>
      </w:pPr>
      <w:r>
        <w:rPr>
          <w:sz w:val="20"/>
        </w:rPr>
        <w:t xml:space="preserve">Коэффициенты, учитывающие дифференциацию стоимости</w:t>
      </w:r>
    </w:p>
    <w:p>
      <w:pPr>
        <w:pStyle w:val="2"/>
        <w:jc w:val="center"/>
      </w:pPr>
      <w:r>
        <w:rPr>
          <w:sz w:val="20"/>
        </w:rPr>
        <w:t xml:space="preserve">капитального ремонта, ремонта и содержания</w:t>
      </w:r>
    </w:p>
    <w:p>
      <w:pPr>
        <w:pStyle w:val="2"/>
        <w:jc w:val="center"/>
      </w:pPr>
      <w:r>
        <w:rPr>
          <w:sz w:val="20"/>
        </w:rPr>
        <w:t xml:space="preserve">автомобильных дорог по количеству полос движения</w:t>
      </w:r>
    </w:p>
    <w:p>
      <w:pPr>
        <w:pStyle w:val="0"/>
        <w:jc w:val="both"/>
      </w:pPr>
      <w:r>
        <w:rPr>
          <w:sz w:val="20"/>
        </w:rPr>
      </w:r>
    </w:p>
    <w:tbl>
      <w:tblPr>
        <w:tblInd w:w="0" w:type="dxa"/>
        <w:tblLayout w:type="fixed"/>
        <w:tblBorders>
          <w:top w:val="single" w:sz="4"/>
          <w:left w:val="single" w:sz="4"/>
          <w:bottom w:val="single" w:sz="4"/>
          <w:right w:val="single" w:sz="4"/>
          <w:insideV w:val="single" w:sz="4"/>
          <w:insideH w:val="single" w:sz="4"/>
        </w:tblBorders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3402"/>
        <w:gridCol w:w="1871"/>
        <w:gridCol w:w="2154"/>
      </w:tblGrid>
      <w:tr>
        <w:tc>
          <w:tcPr>
            <w:tcW w:w="3402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Вид работ</w:t>
            </w:r>
          </w:p>
        </w:tc>
        <w:tc>
          <w:tcPr>
            <w:gridSpan w:val="2"/>
            <w:tcW w:w="4025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Категории автомобильных дорог и количество полос движения</w:t>
            </w:r>
          </w:p>
        </w:tc>
      </w:tr>
      <w:tr>
        <w:tc>
          <w:tcPr>
            <w:vMerge w:val="continue"/>
          </w:tcPr>
          <w:p/>
        </w:tc>
        <w:tc>
          <w:tcPr>
            <w:gridSpan w:val="2"/>
            <w:tcW w:w="4025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II</w:t>
            </w:r>
          </w:p>
        </w:tc>
      </w:tr>
      <w:tr>
        <w:tc>
          <w:tcPr>
            <w:vMerge w:val="continue"/>
          </w:tcPr>
          <w:p/>
        </w:tc>
        <w:tc>
          <w:tcPr>
            <w:tcW w:w="1871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</w:t>
            </w:r>
          </w:p>
        </w:tc>
        <w:tc>
          <w:tcPr>
            <w:tcW w:w="215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</w:t>
            </w:r>
          </w:p>
        </w:tc>
      </w:tr>
      <w:tr>
        <w:tc>
          <w:tcPr>
            <w:tcW w:w="340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Капитальный ремонт и ремонт</w:t>
            </w:r>
          </w:p>
        </w:tc>
        <w:tc>
          <w:tcPr>
            <w:tcW w:w="1871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1,47</w:t>
            </w:r>
          </w:p>
        </w:tc>
        <w:tc>
          <w:tcPr>
            <w:tcW w:w="215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0,98</w:t>
            </w:r>
          </w:p>
        </w:tc>
      </w:tr>
      <w:tr>
        <w:tc>
          <w:tcPr>
            <w:tcW w:w="340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Содержание</w:t>
            </w:r>
          </w:p>
        </w:tc>
        <w:tc>
          <w:tcPr>
            <w:tcW w:w="1871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1,37</w:t>
            </w:r>
          </w:p>
        </w:tc>
        <w:tc>
          <w:tcPr>
            <w:tcW w:w="215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0,98</w:t>
            </w:r>
          </w:p>
        </w:tc>
      </w:tr>
    </w:tbl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outlineLvl w:val="1"/>
        <w:jc w:val="right"/>
      </w:pPr>
      <w:r>
        <w:rPr>
          <w:sz w:val="20"/>
        </w:rPr>
        <w:t xml:space="preserve">Приложение N 3</w:t>
      </w:r>
    </w:p>
    <w:p>
      <w:pPr>
        <w:pStyle w:val="0"/>
        <w:jc w:val="right"/>
      </w:pPr>
      <w:r>
        <w:rPr>
          <w:sz w:val="20"/>
        </w:rPr>
        <w:t xml:space="preserve">к Правилам расчета размера ассигнований</w:t>
      </w:r>
    </w:p>
    <w:p>
      <w:pPr>
        <w:pStyle w:val="0"/>
        <w:jc w:val="right"/>
      </w:pPr>
      <w:r>
        <w:rPr>
          <w:sz w:val="20"/>
        </w:rPr>
        <w:t xml:space="preserve">бюджета Белгородской области на</w:t>
      </w:r>
    </w:p>
    <w:p>
      <w:pPr>
        <w:pStyle w:val="0"/>
        <w:jc w:val="right"/>
      </w:pPr>
      <w:r>
        <w:rPr>
          <w:sz w:val="20"/>
        </w:rPr>
        <w:t xml:space="preserve">капитальный ремонт, ремонт и содержание</w:t>
      </w:r>
    </w:p>
    <w:p>
      <w:pPr>
        <w:pStyle w:val="0"/>
        <w:jc w:val="right"/>
      </w:pPr>
      <w:r>
        <w:rPr>
          <w:sz w:val="20"/>
        </w:rPr>
        <w:t xml:space="preserve">автомобильных дорог общего пользования</w:t>
      </w:r>
    </w:p>
    <w:p>
      <w:pPr>
        <w:pStyle w:val="0"/>
        <w:jc w:val="right"/>
      </w:pPr>
      <w:r>
        <w:rPr>
          <w:sz w:val="20"/>
        </w:rPr>
        <w:t xml:space="preserve">регионального или межмуниципального</w:t>
      </w:r>
    </w:p>
    <w:p>
      <w:pPr>
        <w:pStyle w:val="0"/>
        <w:jc w:val="right"/>
      </w:pPr>
      <w:r>
        <w:rPr>
          <w:sz w:val="20"/>
        </w:rPr>
        <w:t xml:space="preserve">значения Белгородской области</w:t>
      </w:r>
    </w:p>
    <w:p>
      <w:pPr>
        <w:pStyle w:val="0"/>
        <w:jc w:val="both"/>
      </w:pPr>
      <w:r>
        <w:rPr>
          <w:sz w:val="20"/>
        </w:rPr>
      </w:r>
    </w:p>
    <w:bookmarkStart w:id="186" w:name="P186"/>
    <w:bookmarkEnd w:id="186"/>
    <w:p>
      <w:pPr>
        <w:pStyle w:val="2"/>
        <w:jc w:val="center"/>
      </w:pPr>
      <w:r>
        <w:rPr>
          <w:sz w:val="20"/>
        </w:rPr>
        <w:t xml:space="preserve">Нормативные межремонтные сроки, применяемые для расчета</w:t>
      </w:r>
    </w:p>
    <w:p>
      <w:pPr>
        <w:pStyle w:val="2"/>
        <w:jc w:val="center"/>
      </w:pPr>
      <w:r>
        <w:rPr>
          <w:sz w:val="20"/>
        </w:rPr>
        <w:t xml:space="preserve">размера ассигнований областного бюджета на капитальный</w:t>
      </w:r>
    </w:p>
    <w:p>
      <w:pPr>
        <w:pStyle w:val="2"/>
        <w:jc w:val="center"/>
      </w:pPr>
      <w:r>
        <w:rPr>
          <w:sz w:val="20"/>
        </w:rPr>
        <w:t xml:space="preserve">ремонт, ремонт автомобильных дорог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right"/>
      </w:pPr>
      <w:r>
        <w:rPr>
          <w:sz w:val="20"/>
        </w:rPr>
        <w:t xml:space="preserve">(лет)</w:t>
      </w:r>
    </w:p>
    <w:p>
      <w:pPr>
        <w:spacing w:before="0"/>
        <w:spacing w:after="1"/>
      </w:pPr>
    </w:p>
    <w:tbl>
      <w:tblPr>
        <w:tblInd w:w="0" w:type="dxa"/>
        <w:tblLayout w:type="fixed"/>
        <w:tblBorders>
          <w:top w:val="single" w:sz="4"/>
          <w:left w:val="single" w:sz="4"/>
          <w:bottom w:val="single" w:sz="4"/>
          <w:right w:val="single" w:sz="4"/>
          <w:insideV w:val="single" w:sz="4"/>
          <w:insideH w:val="single" w:sz="4"/>
        </w:tblBorders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2381"/>
        <w:gridCol w:w="964"/>
        <w:gridCol w:w="1020"/>
        <w:gridCol w:w="907"/>
        <w:gridCol w:w="850"/>
      </w:tblGrid>
      <w:tr>
        <w:tc>
          <w:tcPr>
            <w:tcW w:w="2381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Вид работ</w:t>
            </w:r>
          </w:p>
        </w:tc>
        <w:tc>
          <w:tcPr>
            <w:gridSpan w:val="4"/>
            <w:tcW w:w="3741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Категория автомобильной дороги</w:t>
            </w:r>
          </w:p>
        </w:tc>
      </w:tr>
      <w:tr>
        <w:tc>
          <w:tcPr>
            <w:vMerge w:val="continue"/>
          </w:tcPr>
          <w:p/>
        </w:tc>
        <w:tc>
          <w:tcPr>
            <w:tcW w:w="9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II</w:t>
            </w:r>
          </w:p>
        </w:tc>
        <w:tc>
          <w:tcPr>
            <w:tcW w:w="102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III</w:t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IV</w:t>
            </w:r>
          </w:p>
        </w:tc>
        <w:tc>
          <w:tcPr>
            <w:tcW w:w="85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V</w:t>
            </w:r>
          </w:p>
        </w:tc>
      </w:tr>
      <w:tr>
        <w:tc>
          <w:tcPr>
            <w:tcW w:w="2381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Капитальный ремонт</w:t>
            </w:r>
          </w:p>
        </w:tc>
        <w:tc>
          <w:tcPr>
            <w:tcW w:w="9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24</w:t>
            </w:r>
          </w:p>
        </w:tc>
        <w:tc>
          <w:tcPr>
            <w:tcW w:w="102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24</w:t>
            </w:r>
          </w:p>
        </w:tc>
        <w:tc>
          <w:tcPr>
            <w:tcW w:w="907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24</w:t>
            </w:r>
          </w:p>
        </w:tc>
        <w:tc>
          <w:tcPr>
            <w:tcW w:w="85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</w:t>
            </w:r>
          </w:p>
        </w:tc>
      </w:tr>
      <w:tr>
        <w:tc>
          <w:tcPr>
            <w:tcW w:w="2381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Ремонт</w:t>
            </w:r>
          </w:p>
        </w:tc>
        <w:tc>
          <w:tcPr>
            <w:tcW w:w="9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</w:t>
            </w:r>
          </w:p>
        </w:tc>
        <w:tc>
          <w:tcPr>
            <w:tcW w:w="102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</w:t>
            </w:r>
          </w:p>
        </w:tc>
        <w:tc>
          <w:tcPr>
            <w:tcW w:w="907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</w:t>
            </w:r>
          </w:p>
        </w:tc>
        <w:tc>
          <w:tcPr>
            <w:tcW w:w="85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</w:t>
            </w:r>
          </w:p>
        </w:tc>
      </w:tr>
    </w:tbl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  <w:pBdr>
          <w:bottom w:val="single" w:sz="6" w:space="0" w:color="auto"/>
        </w:pBdr>
        <w:spacing w:before="100" w:after="100"/>
        <w:rPr>
          <w:sz w:val="2"/>
          <w:szCs w:val="2"/>
        </w:rPr>
      </w:pPr>
    </w:p>
    <w:sectPr>
      <w:headerReference w:type="default" r:id="rId5"/>
      <w:headerReference w:type="first" r:id="rId5"/>
      <w:footerReference w:type="default" r:id="rId6"/>
      <w:footerReference w:type="first" r:id="rId6"/>
      <w:pgSz w:w="11906" w:h="16838"/>
      <w:pgMar w:top="1440" w:right="566" w:bottom="1440" w:left="1133" w:header="0" w:footer="0" w:gutter="0"/>
      <w:titlePg/>
    </w:sectPr>
  </w:body>
</w:document>
</file>

<file path=word/footer1.xml><?xml version="1.0" encoding="utf-8"?>
<w:ft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p>
    <w:pPr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Ind w:w="0" w:type="dxa"/>
      <w:tblCellMar>
        <w:left w:w="40" w:type="dxa"/>
        <w:right w:w="40" w:type="dxa"/>
      </w:tblCellMar>
      <w:tblLook w:firstRow="0" w:lastRow="0" w:firstColumn="0" w:lastColumn="0" w:noHBand="0" w:noVBand="0"/>
    </w:tblPr>
    <w:tblGrid>
      <w:gridCol w:w="1"/>
      <w:gridCol w:w="1"/>
      <w:gridCol w:w="1"/>
    </w:tblGrid>
    <w:tr>
      <w:trPr>
        <w:trHeight w:hRule="exact" w:val="1663"/>
      </w:trPr>
      <w:tc>
        <w:tcPr>
          <w:tcW w:w="1650" w:type="pct"/>
          <w:vAlign w:val="center"/>
        </w:tcPr>
        <w:p>
          <w:r>
            <w:rPr>
              <w:rFonts w:ascii="Tahoma" w:hAnsi="Tahoma" w:cs="Tahoma"/>
              <w:b/>
              <w:color w:val="f58220"/>
              <w:sz w:val="28"/>
              <w:szCs w:val="28"/>
              <w:noProof/>
            </w:rPr>
            <w:t>КонсультантПлюс</w:t>
          </w:r>
          <w:r>
            <w:rPr>
              <w:rFonts w:ascii="Tahoma" w:hAnsi="Tahoma" w:cs="Tahoma"/>
              <w:b/>
              <w:sz w:val="16"/>
              <w:szCs w:val="16"/>
              <w:noProof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>
          <w:pPr>
            <w:jc w:val="center"/>
          </w:pPr>
          <w:hyperlink r:id="rId1" w:history="0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>
          <w:pPr>
            <w:jc w:val="end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</w:p>
      </w:tc>
    </w:tr>
  </w:tbl>
  <w:p>
    <w:r>
      <w:rPr>
        <w:sz w:val="2"/>
        <w:szCs w:val="2"/>
      </w:rPr>
      <w:t>1</w:t>
    </w:r>
  </w:p>
</w:ftr>
</file>

<file path=word/header1.xml><?xml version="1.0" encoding="utf-8"?>
<w:hd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tbl>
    <w:tblPr>
      <w:tblW w:w="5000" w:type="pct"/>
      <w:tblInd w:w="0" w:type="dxa"/>
      <w:tblLayout w:type="fixed"/>
      <w:tblCellMar>
        <w:left w:w="40" w:type="dxa"/>
        <w:right w:w="40" w:type="dxa"/>
      </w:tblCellMar>
    </w:tblPr>
    <w:tblGrid>
      <w:gridCol w:w="1"/>
      <w:gridCol w:w="1"/>
    </w:tblGrid>
    <w:tr>
      <w:trPr>
        <w:trHeight w:hRule="exact" w:val="1683"/>
      </w:trPr>
      <w:tc>
        <w:tcPr>
          <w:tcW w:w="2700" w:type="pct"/>
          <w:vAlign w:val="center"/>
        </w:tcPr>
        <w:p>
          <w:pPr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Постановление Правительства Белгородской обл. от 11.07.2022 N 415-пп</w:t>
            <w:br/>
            <w:t>"О нормативах финансовых затрат и правилах расчета ...</w:t>
          </w:r>
        </w:p>
      </w:tc>
      <w:tc>
        <w:tcPr>
          <w:tcW w:w="2300" w:type="pct"/>
          <w:vAlign w:val="center"/>
        </w:tcPr>
        <w:p>
          <w:pPr>
            <w:jc w:val="end"/>
            <w:rPr>
              <w:rFonts w:ascii="Tahoma" w:hAnsi="Tahoma" w:cs="Tahoma"/>
            </w:rPr>
          </w:pPr>
          <w:r>
            <w:rPr>
              <w:rFonts w:ascii="Tahoma" w:hAnsi="Tahoma" w:cs="Tahoma"/>
              <w:sz w:val="18"/>
              <w:szCs w:val="18"/>
              <w:noProof/>
            </w:rPr>
            <w:t xml:space="preserve">Документ предоставлен </w:t>
          </w:r>
          <w:hyperlink r:id="rId1" w:history="0" w:tooltip="КонсультантПлюс - надежная правовая система">
            <w:r>
              <w:rPr>
                <w:rFonts w:ascii="Tahoma" w:hAnsi="Tahoma" w:cs="Tahoma"/>
                <w:color w:val="0000FF"/>
                <w:sz w:val="18"/>
                <w:szCs w:val="18"/>
                <w:noProof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18.05.2023</w:t>
          </w:r>
        </w:p>
      </w:tc>
    </w:tr>
  </w:tbl>
  <w:p>
    <w:pPr>
      <w:pBdr>
        <w:bottom w:val="single" w:sz="12" w:space="0" w:color="auto"/>
      </w:pBdr>
      <w:rPr>
        <w:sz w:val="2"/>
        <w:szCs w:val="2"/>
      </w:rPr>
    </w:pPr>
  </w:p>
  <w:p/>
</w:hdr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pPrDefault>
      <w:pPr>
        <w:spacing w:before="0" w:after="0" w:line="240" w:lineRule="auto"/>
      </w:pPr>
    </w:pPrDefault>
  </w:docDefaults>
  <w:style w:type="paragraph" w:default="1" w:customStyle="1" w:styleId="0">
    <w:name w:val="ConsPlusNormal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1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2">
    <w:name w:val="ConsPlusTitle"/>
    <w:pPr>
      <w:widowControl w:val="0"/>
      <w:autoSpaceDE w:val="0"/>
      <w:autoSpaceDN w:val="0"/>
    </w:pPr>
    <w:rPr>
      <w:rFonts w:ascii="Arial" w:hAnsi="Arial" w:cs="Arial"/>
      <w:sz w:val="20"/>
      <w:b/>
    </w:rPr>
  </w:style>
  <w:style w:type="paragraph" w:customStyle="1" w:styleId="3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4">
    <w:name w:val="ConsPlusDocLis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5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6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7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8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default="1" w:customStyle="1" w:styleId="0">
    <w:name w:val="ConsPlusNormal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1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2">
    <w:name w:val="ConsPlusTitle"/>
    <w:pPr>
      <w:widowControl w:val="0"/>
      <w:autoSpaceDE w:val="0"/>
      <w:autoSpaceDN w:val="0"/>
    </w:pPr>
    <w:rPr>
      <w:rFonts w:ascii="Arial" w:hAnsi="Arial" w:cs="Arial"/>
      <w:sz w:val="20"/>
      <w:b/>
    </w:rPr>
  </w:style>
  <w:style w:type="paragraph" w:customStyle="1" w:styleId="3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4">
    <w:name w:val="ConsPlusDocLis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5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6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7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8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</w:styles>
</file>

<file path=word/_rels/document.xml.rels>&#65279;<?xml version="1.0" encoding="UTF-8" standalone="yes"?>
<Relationships xmlns="http://schemas.openxmlformats.org/package/2006/relationships">
	<Relationship Id="rId1" Type="http://schemas.openxmlformats.org/officeDocument/2006/relationships/styles" Target="styles.xml"/>
	<Relationship Id="rId2" Type="http://schemas.openxmlformats.org/officeDocument/2006/relationships/image" Target="media/image1.png"/>
	<Relationship Id="rId3" Type="http://schemas.openxmlformats.org/officeDocument/2006/relationships/hyperlink" Target="https://www.consultant.ru" TargetMode = "External"/>
	<Relationship Id="rId4" Type="http://schemas.openxmlformats.org/officeDocument/2006/relationships/hyperlink" Target="https://www.consultant.ru" TargetMode = "External"/>
	<Relationship Id="rId5" Type="http://schemas.openxmlformats.org/officeDocument/2006/relationships/header" Target="header1.xml"/>
	<Relationship Id="rId6" Type="http://schemas.openxmlformats.org/officeDocument/2006/relationships/footer" Target="footer1.xml"/>
	<Relationship Id="rId7" Type="http://schemas.openxmlformats.org/officeDocument/2006/relationships/hyperlink" Target="consultantplus://offline/ref=7C4733A995165BC2C0BF33A25FCCF48B56F0AA4B47C81205AE5E453BB5D83A6F5E130E31B36210CAE3841DAF9516A68624A893F08706A2C0h839M" TargetMode = "External"/>
	<Relationship Id="rId8" Type="http://schemas.openxmlformats.org/officeDocument/2006/relationships/hyperlink" Target="consultantplus://offline/ref=7C4733A995165BC2C0BF33A25FCCF48B51F2A5434FCF1205AE5E453BB5D83A6F4C13563DB26A0FCDE1914BFED3h430M" TargetMode = "External"/>
	<Relationship Id="rId9" Type="http://schemas.openxmlformats.org/officeDocument/2006/relationships/hyperlink" Target="consultantplus://offline/ref=7C4733A995165BC2C0BF2DAF49A0AE8656FFF2474DCD1954F7011E66E2D13038195C5761F7371CCCEC9149FBCF41AB85h23FM" TargetMode = "External"/>
</Relationships>
</file>

<file path=word/_rels/footer1.xml.rels>&#65279;<?xml version="1.0" encoding="UTF-8" standalone="yes"?>
<Relationships xmlns="http://schemas.openxmlformats.org/package/2006/relationships">
	<Relationship Id="rId1" Type="http://schemas.openxmlformats.org/officeDocument/2006/relationships/hyperlink" Target="https://www.consultant.ru" TargetMode = "External"/>
</Relationships>
</file>

<file path=word/_rels/header1.xml.rels>&#65279;<?xml version="1.0" encoding="UTF-8" standalone="yes"?>
<Relationships xmlns="http://schemas.openxmlformats.org/package/2006/relationships">
	<Relationship Id="rId1" Type="http://schemas.openxmlformats.org/officeDocument/2006/relationships/hyperlink" Target="https://www.consultant.ru" TargetMode = "External"/>
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КонсультантПлюс Версия 4022.00.55</Application>
  <Company>КонсультантПлюс Версия 4022.00.55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Правительства Белгородской обл. от 11.07.2022 N 415-пп
"О нормативах финансовых затрат и правилах расчета размера ассигнований бюджета Белгородской области на капитальный ремонт, ремонт и содержание автомобильных дорог общего пользования регионального или межмуниципального значения Белгородской области"</dc:title>
  <dcterms:created xsi:type="dcterms:W3CDTF">2023-05-18T12:55:33Z</dcterms:created>
</cp:coreProperties>
</file>