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  <w:u w:val="singl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постановления Правит</w:t>
            </w:r>
            <w:r>
              <w:rPr>
                <w:sz w:val="24"/>
                <w:szCs w:val="24"/>
                <w:u w:val="single"/>
              </w:rPr>
              <w:t xml:space="preserve">ельства Белгородской области </w:t>
            </w:r>
            <w:r>
              <w:rPr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01 августа 2023 года № 416-пп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>
              <w:rPr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12 </w:t>
            </w:r>
            <w:r>
              <w:rPr>
                <w:sz w:val="24"/>
                <w:szCs w:val="24"/>
              </w:rPr>
              <w:t xml:space="preserve">по 23</w:t>
            </w:r>
            <w:r>
              <w:rPr>
                <w:sz w:val="24"/>
                <w:szCs w:val="24"/>
              </w:rPr>
              <w:t xml:space="preserve"> августа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14</cp:revision>
  <dcterms:created xsi:type="dcterms:W3CDTF">2023-04-28T08:37:00Z</dcterms:created>
  <dcterms:modified xsi:type="dcterms:W3CDTF">2025-01-28T11:01:37Z</dcterms:modified>
</cp:coreProperties>
</file>