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ind w:firstLine="709"/>
              <w:jc w:val="both"/>
              <w:rPr>
                <w:rFonts w:ascii="PT Astra Serif" w:hAnsi="PT Astra Serif" w:cs="PT Astra Serif"/>
                <w:highlight w:val="none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постановления 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Правительства Белгородской области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«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О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внесении изменений в постановление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Правительства Белгородской области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от 01 августа 2023</w:t>
            </w:r>
            <w:r>
              <w:rPr>
                <w:rFonts w:hint="default" w:ascii="PT Astra Serif" w:hAnsi="PT Astra Serif" w:eastAsia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 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года № 416-пп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»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 разработан 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в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соответствии с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постановлением Правительства Российской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Федерации от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31 марта 2023 года № 525 «Об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пункт 12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  <w:vertAlign w:val="superscript"/>
              </w:rPr>
              <w:t xml:space="preserve">1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Положения о</w:t>
            </w:r>
            <w:r>
              <w:rPr>
                <w:rFonts w:hint="default" w:ascii="PT Astra Serif" w:hAnsi="PT Astra Serif" w:eastAsia="PT Astra Serif" w:cs="PT Astra Serif"/>
                <w:i/>
                <w:iCs/>
                <w:sz w:val="26"/>
                <w:szCs w:val="26"/>
              </w:rPr>
              <w:t xml:space="preserve"> 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Правительственной комиссии по региональному развитию в Российской Федерации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» в целях уточнения объема финансирования мероприятий на приобретение подвижного состава пассажирского транспорта общего пользования 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  <w:lang w:val="ru-RU" w:eastAsia="ru-RU" w:bidi="ar-SA"/>
              </w:rPr>
              <w:t xml:space="preserve">объем, финансирования которых превышает лимит специального казначейского кредита, в связи с возникшей экономией средств в результате проведения закупочных процедур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7</cp:revision>
  <dcterms:created xsi:type="dcterms:W3CDTF">2023-04-28T08:40:00Z</dcterms:created>
  <dcterms:modified xsi:type="dcterms:W3CDTF">2025-01-28T11:03:08Z</dcterms:modified>
</cp:coreProperties>
</file>