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color w:val="000000" w:themeColor="text1"/>
          <w:sz w:val="28"/>
          <w:szCs w:val="28"/>
          <w:highlight w:val="none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</w:tc>
      </w:tr>
      <w:tr>
        <w:trPr>
          <w:trHeight w:val="425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pStyle w:val="811"/>
              <w:jc w:val="both"/>
              <w:tabs>
                <w:tab w:val="left" w:pos="709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разработан в связи со следующим.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/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целях своевременного завершения </w:t>
            </w:r>
            <w:r>
              <w:rPr>
                <w:sz w:val="24"/>
                <w:szCs w:val="24"/>
              </w:rPr>
              <w:t xml:space="preserve">выполнения программы дорожных работ на 2024 год,  в связи с внесением изменений в закон Белгородской области от 27 декабря 2023 года  № 335 «Об областном бюджете на 2024 год  и на плановый период 2025 </w:t>
              <w:br/>
              <w:t xml:space="preserve">и 2026 годов» в части увеличения на 2024 год и</w:t>
            </w:r>
            <w:r>
              <w:rPr>
                <w:sz w:val="24"/>
                <w:szCs w:val="24"/>
              </w:rPr>
              <w:t xml:space="preserve"> перераспределения средств областного бюджета по разделу  «Дорожное хозяйство (дорожные фонды)» и в соответствии </w:t>
              <w:br/>
              <w:t xml:space="preserve">с проектом закона «Об областном бюджете на 2025 год и на плановый период                            2026 и 2027 годов» в постан</w:t>
            </w:r>
            <w:r>
              <w:rPr>
                <w:sz w:val="24"/>
                <w:szCs w:val="24"/>
              </w:rPr>
              <w:t xml:space="preserve">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и развитие транспортной системы и дорожной сети Белгородской области» вносятся  изменения: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паспорт государственной программы (далее – Программа), а также в паспорта структурных элементов Программы и приложения к ним – по уточнению показателей </w:t>
              <w:br/>
              <w:t xml:space="preserve">и финансового обеспечения для реализации Программы;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перечни объектов по строительству (реконструкции), капитальному ремонту </w:t>
              <w:br/>
              <w:t xml:space="preserve">и ремонту автомобильных дорог и искусственных сооружений на них  регионального </w:t>
              <w:br/>
              <w:t xml:space="preserve">и ме</w:t>
            </w:r>
            <w:r>
              <w:rPr>
                <w:sz w:val="24"/>
                <w:szCs w:val="24"/>
              </w:rPr>
              <w:t xml:space="preserve">стного значения (приложения № 1, № 6 – № 9 к Программе).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 целом финансирование 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рограммы на 2024 год  увеличилось </w:t>
            </w:r>
            <w:r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10 426,1</w:t>
            </w:r>
            <w:r>
              <w:rPr>
                <w:sz w:val="24"/>
                <w:szCs w:val="24"/>
              </w:rPr>
              <w:t xml:space="preserve"> тыс. ру</w:t>
            </w:r>
            <w:r>
              <w:rPr>
                <w:sz w:val="24"/>
                <w:szCs w:val="24"/>
              </w:rPr>
              <w:t xml:space="preserve">блей </w:t>
            </w:r>
            <w:r>
              <w:rPr>
                <w:sz w:val="24"/>
                <w:szCs w:val="24"/>
              </w:rPr>
              <w:t xml:space="preserve">и  </w:t>
            </w:r>
            <w:r>
              <w:rPr>
                <w:sz w:val="24"/>
                <w:szCs w:val="24"/>
              </w:rPr>
              <w:t xml:space="preserve">составило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 394 097,6</w:t>
            </w:r>
            <w:r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pStyle w:val="815"/>
              <w:numPr>
                <w:ilvl w:val="0"/>
                <w:numId w:val="0"/>
              </w:numPr>
              <w:ind w:left="0" w:right="0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В 2025 году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финансирование Программы из областного бюджета увеличено </w:t>
              <w:br/>
              <w:t xml:space="preserve">на ремонт автодорог местного значения Красногвардейского района на 187 000,0 тыс. рублей.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19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2023-08-10T11:55:00Z</dcterms:created>
  <dcterms:modified xsi:type="dcterms:W3CDTF">2025-02-06T06:36:45Z</dcterms:modified>
</cp:coreProperties>
</file>