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  <w:t xml:space="preserve">Обоснование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  <w:t xml:space="preserve">необходимости реализации предлагаемых решений посредством принятия нормативного правового акта, в том числе их влияния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  <w:t xml:space="preserve">на конкуренцию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</w:r>
      <w:r/>
    </w:p>
    <w:tbl>
      <w:tblPr>
        <w:tblStyle w:val="815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rPr/>
        <w:tc>
          <w:tcPr>
            <w:tcW w:w="9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Проект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постановления Правительства Белгородской области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 xml:space="preserve">«О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внесении изменений в постановление Правительства Белгородской области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18 октября 2021 года № 470-пп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»</w:t>
            </w:r>
            <w:r/>
          </w:p>
          <w:p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(наименование проекта нормативного правового акта Губернатора или Правительства Белгородской области, нормативного правового акта органа исполнительной власти области)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и транспорта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(наименование органа исполнительной власти области, подготовившего данный проект нормативного правового акта)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345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Обоснование необходимости принятия нормативного правового акта (основания, концепц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ия, цели, задачи, последствия принятия): 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/>
              <w:ind w:firstLine="709"/>
              <w:jc w:val="both"/>
              <w:spacing w:line="233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Проект постановления Правительства Белгородской области </w:t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 xml:space="preserve">«О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внесении изменений в постановление Правительства Белгородской области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18 октября 2021 года № 470-пп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разработан министерством автомобильных дорог и транспорта Белгородской области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 в соответствии с требованиями 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Федерального закона от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 31 июля 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2020 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года 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№ 248-ФЗ «О государственном контроле (надзоре) </w:t>
            </w:r>
            <w:bookmarkStart w:id="0" w:name="undefined"/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</w:r>
            <w:bookmarkEnd w:id="0"/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eastAsia="ru-RU"/>
              </w:rPr>
              <w:t xml:space="preserve">и муниципальном контроле в Российской Федерации»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 в целях исполне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ния требований Федерального закона.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345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Белгородской области (окажет/не окажет, если окажет, укажите какое влияние и на какие товарные рынки):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Не окажет.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9345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Информация о положениях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Белгородской области (отсутствуют/присутствуют, если присутствуют, отразите короткое обоснование их наличия):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Отсутствую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Парахин Антон Олегович</dc:creator>
  <cp:revision>8</cp:revision>
  <dcterms:created xsi:type="dcterms:W3CDTF">2023-04-28T08:40:00Z</dcterms:created>
  <dcterms:modified xsi:type="dcterms:W3CDTF">2025-05-06T11:44:50Z</dcterms:modified>
</cp:coreProperties>
</file>