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утратившим силу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27 декабря 2021 года №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683-пп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ли, задачи, последствия принятия):</w:t>
            </w:r>
            <w:r>
              <w:rPr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19"/>
              <w:contextualSpacing/>
              <w:ind w:left="0" w:right="0" w:firstLine="708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утратившим силу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27 декабря 2021 года №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683-пп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разработан в связи с тем, что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27 декабря 2021 года №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683-пп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принято в целях обеспечения бесперебойного транспортного обслуживания населения г. Белгорода и Белгородского района при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перераспределении полномочий между органами местного самоуправления </w:t>
              <w:br/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исполнительными органами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в переходный период </w:t>
            </w:r>
            <w:r>
              <w:rPr>
                <w:rFonts w:ascii="Times New Roman" w:hAnsi="Times New Roman" w:eastAsia="Segoe UI" w:cs="Times New Roman"/>
                <w:b w:val="0"/>
                <w:bCs w:val="0"/>
                <w:color w:val="000000"/>
                <w:spacing w:val="-4"/>
                <w:sz w:val="24"/>
                <w:szCs w:val="24"/>
                <w:highlight w:val="none"/>
              </w:rPr>
              <w:t xml:space="preserve">действия </w:t>
            </w:r>
            <w:r>
              <w:rPr>
                <w:rFonts w:ascii="Times New Roman" w:hAnsi="Times New Roman" w:eastAsia="Segoe UI" w:cs="Times New Roman"/>
                <w:b w:val="0"/>
                <w:bCs w:val="0"/>
                <w:color w:val="000000"/>
                <w:spacing w:val="-4"/>
                <w:sz w:val="24"/>
                <w:szCs w:val="24"/>
                <w:highlight w:val="white"/>
              </w:rPr>
              <w:t xml:space="preserve">закона Белгородской области от 23 декабря 2021 года № 145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Segoe UI" w:cs="Times New Roman"/>
                <w:b w:val="0"/>
                <w:bCs w:val="0"/>
                <w:color w:val="000000"/>
                <w:spacing w:val="-4"/>
                <w:sz w:val="24"/>
                <w:szCs w:val="24"/>
                <w:highlight w:val="white"/>
              </w:rPr>
              <w:t xml:space="preserve">О перераспределении полномочий </w:t>
              <w:br/>
              <w:t xml:space="preserve">по организации регулярных перевозок пассажиров и багажа автомобильным транспортом </w:t>
              <w:br/>
              <w:t xml:space="preserve">и городским наземным электрическим транспортом между органами м</w:t>
            </w:r>
            <w:r>
              <w:rPr>
                <w:rFonts w:ascii="Times New Roman" w:hAnsi="Times New Roman" w:eastAsia="Segoe UI" w:cs="Times New Roman"/>
                <w:b w:val="0"/>
                <w:bCs w:val="0"/>
                <w:color w:val="000000"/>
                <w:spacing w:val="-4"/>
                <w:sz w:val="24"/>
                <w:szCs w:val="24"/>
                <w:highlight w:val="white"/>
              </w:rPr>
              <w:t xml:space="preserve">естного самоуправления отдельных муниципальных образований Белгородской области и органами государственной власти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0" w:right="0" w:firstLine="709"/>
              <w:jc w:val="both"/>
              <w:spacing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Учитывая, что переходный период истек, цель правового регулирования достигнута, Постановление потеряло свою актуальность, в связи с чем подлежит признанию утратившим силу.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19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2023-08-10T11:55:00Z</dcterms:created>
  <dcterms:modified xsi:type="dcterms:W3CDTF">2025-06-25T07:48:08Z</dcterms:modified>
</cp:coreProperties>
</file>