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sz w:val="24"/>
                <w:szCs w:val="24"/>
                <w:u w:val="single"/>
              </w:rPr>
              <w:t xml:space="preserve">О внесении изменений в постановление Правительства Белгородской области 18 октября 2021 года № 470-пп</w:t>
            </w:r>
            <w:r>
              <w:rPr>
                <w:sz w:val="24"/>
                <w:szCs w:val="24"/>
                <w:u w:val="single"/>
              </w:rPr>
              <w:t xml:space="preserve">»</w:t>
            </w:r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1 ноября</w:t>
            </w:r>
            <w:r>
              <w:rPr>
                <w:sz w:val="24"/>
                <w:szCs w:val="24"/>
              </w:rPr>
              <w:t xml:space="preserve"> 2025 года по 15 ноября 2025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13</cp:revision>
  <dcterms:created xsi:type="dcterms:W3CDTF">2023-04-28T08:41:00Z</dcterms:created>
  <dcterms:modified xsi:type="dcterms:W3CDTF">2026-01-29T06:18:45Z</dcterms:modified>
</cp:coreProperties>
</file>